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</w:rPr>
      </w:pPr>
    </w:p>
    <w:p>
      <w:pPr>
        <w:pStyle w:val="BodyText"/>
        <w:spacing w:line="427" w:lineRule="auto" w:before="101"/>
        <w:ind w:left="2078" w:right="2197" w:hanging="144"/>
        <w:rPr>
          <w:sz w:val="18"/>
        </w:rPr>
      </w:pPr>
      <w:r>
        <w:rPr/>
        <w:t>Información sobre protección de datos de carácter personal en el tratamiento de gestión de grabaciones de docencia</w:t>
      </w:r>
      <w:r>
        <w:rPr>
          <w:position w:val="7"/>
          <w:sz w:val="18"/>
        </w:rPr>
        <w:t>1</w:t>
      </w:r>
    </w:p>
    <w:p>
      <w:pPr>
        <w:spacing w:line="240" w:lineRule="auto" w:before="0"/>
        <w:rPr>
          <w:b/>
          <w:sz w:val="32"/>
        </w:rPr>
      </w:pPr>
    </w:p>
    <w:p>
      <w:pPr>
        <w:pStyle w:val="BodyText"/>
        <w:spacing w:line="278" w:lineRule="auto" w:before="203"/>
        <w:ind w:left="110" w:right="244"/>
      </w:pPr>
      <w:r>
        <w:rPr/>
        <w:t>Se adjuntan dos informaciones gráficas que deberán insertarse al comienzo de cada sesión. Se utilizará una u otra según si la sesión comprende grabación o sólo visualización</w:t>
      </w:r>
    </w:p>
    <w:p>
      <w:pPr>
        <w:spacing w:line="240" w:lineRule="auto" w:before="6" w:after="0"/>
        <w:rPr>
          <w:b/>
          <w:sz w:val="17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787"/>
        <w:gridCol w:w="3543"/>
      </w:tblGrid>
      <w:tr>
        <w:trPr>
          <w:trHeight w:val="2094" w:hRule="atLeast"/>
        </w:trPr>
        <w:tc>
          <w:tcPr>
            <w:tcW w:w="3021" w:type="dxa"/>
            <w:vMerge w:val="restart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217"/>
              <w:ind w:left="315"/>
              <w:rPr>
                <w:b/>
                <w:sz w:val="28"/>
              </w:rPr>
            </w:pPr>
            <w:r>
              <w:rPr>
                <w:b/>
                <w:sz w:val="28"/>
              </w:rPr>
              <w:t>Sesión con grabación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65898" cy="1776983"/>
                  <wp:effectExtent l="0" t="0" r="0" b="0"/>
                  <wp:docPr id="3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98" cy="177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</w:tc>
        <w:tc>
          <w:tcPr>
            <w:tcW w:w="3787" w:type="dxa"/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left="102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95047" cy="1097661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47" cy="109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54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9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2958" cy="1057275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58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658" w:hRule="atLeast"/>
        </w:trPr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2"/>
          </w:tcPr>
          <w:p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Tratamiento: Gestión de grabaciones de docencia</w:t>
            </w:r>
          </w:p>
          <w:p>
            <w:pPr>
              <w:pStyle w:val="TableParagraph"/>
              <w:spacing w:line="364" w:lineRule="auto" w:before="144"/>
              <w:ind w:left="106" w:right="312"/>
              <w:rPr>
                <w:sz w:val="24"/>
              </w:rPr>
            </w:pPr>
            <w:r>
              <w:rPr>
                <w:b/>
                <w:sz w:val="24"/>
              </w:rPr>
              <w:t>Finalidad: </w:t>
            </w:r>
            <w:r>
              <w:rPr>
                <w:sz w:val="24"/>
              </w:rPr>
              <w:t>Grabación y tratamiento audiovisual de docencia y su evaluación </w:t>
            </w:r>
            <w:r>
              <w:rPr>
                <w:b/>
                <w:sz w:val="24"/>
              </w:rPr>
              <w:t>Base Jurídica</w:t>
            </w:r>
            <w:r>
              <w:rPr>
                <w:sz w:val="24"/>
              </w:rPr>
              <w:t>: Art. 6.1.b), c) y d) Reglamento General de Protección de Datos </w:t>
            </w:r>
            <w:r>
              <w:rPr>
                <w:b/>
                <w:sz w:val="24"/>
              </w:rPr>
              <w:t>Responsable: </w:t>
            </w:r>
            <w:r>
              <w:rPr>
                <w:sz w:val="24"/>
              </w:rPr>
              <w:t>Universidad de Zaragoza.</w:t>
            </w:r>
          </w:p>
          <w:p>
            <w:pPr>
              <w:pStyle w:val="TableParagraph"/>
              <w:spacing w:line="261" w:lineRule="auto"/>
              <w:ind w:left="106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Ejercicio de Derechos </w:t>
            </w:r>
            <w:r>
              <w:rPr>
                <w:sz w:val="24"/>
              </w:rPr>
              <w:t>de acceso, rectificación, supresión, portabilidad, limitación u oposición al tratamiento ante el gerente de la Universidad conforme a </w:t>
            </w:r>
            <w:hyperlink r:id="rId10">
              <w:r>
                <w:rPr>
                  <w:b/>
                  <w:color w:val="0000FF"/>
                  <w:sz w:val="24"/>
                  <w:u w:val="single" w:color="0000FF"/>
                </w:rPr>
                <w:t>https://protecciondatos.unizar.es/procedimiento-seguir</w:t>
              </w:r>
            </w:hyperlink>
          </w:p>
          <w:p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completa en:</w:t>
            </w:r>
          </w:p>
          <w:p>
            <w:pPr>
              <w:pStyle w:val="TableParagraph"/>
              <w:spacing w:line="259" w:lineRule="auto" w:before="144"/>
              <w:ind w:left="106"/>
              <w:rPr>
                <w:b/>
                <w:sz w:val="24"/>
              </w:rPr>
            </w:pP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https://protecciondatos.unizar.es/sites/protecciondatos.unizar.es/files/user</w:t>
              </w:r>
            </w:hyperlink>
            <w:r>
              <w:rPr>
                <w:b/>
                <w:color w:val="0000FF"/>
                <w:sz w:val="24"/>
              </w:rPr>
              <w:t> </w:t>
            </w: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s/lopd/gdocencia_extensa.pdf</w:t>
              </w:r>
            </w:hyperlink>
          </w:p>
          <w:p>
            <w:pPr>
              <w:pStyle w:val="TableParagraph"/>
              <w:spacing w:line="261" w:lineRule="auto" w:before="122"/>
              <w:ind w:left="106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Propiedad intelectual: </w:t>
            </w:r>
            <w:r>
              <w:rPr>
                <w:sz w:val="24"/>
              </w:rPr>
              <w:t>Queda prohibida la difusión, distribución o divulgación de la grabación y particularmente su compartición en redes sociales o servicios dedicados a compartir apuntes. La infracción de esta prohibición puede generar responsabilidad disciplinaria, administrativa y de índole civil o penal.</w:t>
            </w:r>
          </w:p>
          <w:p>
            <w:pPr>
              <w:pStyle w:val="TableParagraph"/>
              <w:spacing w:before="123"/>
              <w:ind w:left="2995"/>
              <w:rPr>
                <w:sz w:val="24"/>
              </w:rPr>
            </w:pPr>
            <w:r>
              <w:rPr>
                <w:sz w:val="24"/>
              </w:rPr>
              <w:t>Fuente de las imágenes: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</w:t>
              </w:r>
            </w:hyperlink>
            <w:hyperlink r:id="rId12">
              <w:r>
                <w:rPr>
                  <w:color w:val="0000FF"/>
                  <w:sz w:val="24"/>
                  <w:u w:val="single" w:color="0000FF"/>
                </w:rPr>
                <w:t>/pixabay.com/es</w:t>
              </w:r>
            </w:hyperlink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2"/>
        </w:rPr>
      </w:pPr>
      <w:r>
        <w:rPr/>
        <w:pict>
          <v:line style="position:absolute;mso-position-horizontal-relative:page;mso-position-vertical-relative:paragraph;z-index:-1024;mso-wrap-distance-left:0;mso-wrap-distance-right:0" from="85.125pt,9.327369pt" to="229.125pt,9.327369pt" stroked="true" strokeweight=".69995pt" strokecolor="#000000">
            <v:stroke dashstyle="solid"/>
            <w10:wrap type="topAndBottom"/>
          </v:line>
        </w:pict>
      </w:r>
    </w:p>
    <w:p>
      <w:pPr>
        <w:spacing w:before="69"/>
        <w:ind w:left="962" w:right="108" w:firstLine="0"/>
        <w:jc w:val="both"/>
        <w:rPr>
          <w:b/>
          <w:sz w:val="24"/>
        </w:rPr>
      </w:pPr>
      <w:r>
        <w:rPr>
          <w:b/>
          <w:position w:val="6"/>
          <w:sz w:val="16"/>
        </w:rPr>
        <w:t>1 </w:t>
      </w:r>
      <w:r>
        <w:rPr>
          <w:b/>
          <w:sz w:val="24"/>
        </w:rPr>
        <w:t>Uso de la imagen gráfica en la primera pantalla y/o al inicio de la sesión. Se recomienda hiperenlazar la página de Información completa mediante código QR e hiperenlace. De no ser posible, puede eliminarse el código QR de la imagen.</w:t>
      </w:r>
    </w:p>
    <w:p>
      <w:pPr>
        <w:spacing w:after="0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680" w:footer="948" w:top="1820" w:bottom="1140" w:left="740" w:right="46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787"/>
        <w:gridCol w:w="3543"/>
      </w:tblGrid>
      <w:tr>
        <w:trPr>
          <w:trHeight w:val="2005" w:hRule="atLeast"/>
        </w:trPr>
        <w:tc>
          <w:tcPr>
            <w:tcW w:w="3021" w:type="dxa"/>
            <w:vMerge w:val="restart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215"/>
              <w:ind w:left="655" w:right="6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SESIÓN</w:t>
            </w:r>
          </w:p>
          <w:p>
            <w:pPr>
              <w:pStyle w:val="TableParagraph"/>
              <w:spacing w:before="148"/>
              <w:ind w:left="763"/>
              <w:rPr>
                <w:b/>
                <w:sz w:val="28"/>
              </w:rPr>
            </w:pPr>
            <w:r>
              <w:rPr>
                <w:b/>
                <w:sz w:val="28"/>
              </w:rPr>
              <w:t>sin grabación</w:t>
            </w:r>
          </w:p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line="364" w:lineRule="auto" w:before="243"/>
              <w:ind w:left="655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Sesión controlada mediante webcam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5898" cy="1776983"/>
                  <wp:effectExtent l="0" t="0" r="0" b="0"/>
                  <wp:docPr id="9" name="image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898" cy="177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2"/>
              </w:rPr>
            </w:pPr>
          </w:p>
        </w:tc>
        <w:tc>
          <w:tcPr>
            <w:tcW w:w="3787" w:type="dxa"/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0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95047" cy="1097661"/>
                  <wp:effectExtent l="0" t="0" r="0" b="0"/>
                  <wp:docPr id="11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47" cy="1097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43" w:type="dxa"/>
          </w:tcPr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9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17016" cy="1014983"/>
                  <wp:effectExtent l="0" t="0" r="0" b="0"/>
                  <wp:docPr id="13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16" cy="101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484" w:hRule="atLeast"/>
        </w:trPr>
        <w:tc>
          <w:tcPr>
            <w:tcW w:w="3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2"/>
          </w:tcPr>
          <w:p>
            <w:pPr>
              <w:pStyle w:val="TableParagraph"/>
              <w:spacing w:before="116"/>
              <w:ind w:left="106"/>
              <w:rPr>
                <w:b/>
                <w:sz w:val="24"/>
              </w:rPr>
            </w:pPr>
            <w:r>
              <w:rPr>
                <w:b/>
                <w:sz w:val="22"/>
              </w:rPr>
              <w:t>Tratamiento: </w:t>
            </w:r>
            <w:r>
              <w:rPr>
                <w:b/>
                <w:sz w:val="24"/>
              </w:rPr>
              <w:t>Gestión de grabaciones de docencia</w:t>
            </w:r>
          </w:p>
          <w:p>
            <w:pPr>
              <w:pStyle w:val="TableParagraph"/>
              <w:spacing w:line="367" w:lineRule="auto" w:before="146"/>
              <w:ind w:left="106" w:right="312"/>
              <w:rPr>
                <w:sz w:val="22"/>
              </w:rPr>
            </w:pPr>
            <w:r>
              <w:rPr>
                <w:b/>
                <w:sz w:val="22"/>
              </w:rPr>
              <w:t>Finalidad: </w:t>
            </w:r>
            <w:r>
              <w:rPr>
                <w:sz w:val="24"/>
              </w:rPr>
              <w:t>Grabación y tratamiento audiovisual de docencia y su evaluación </w:t>
            </w:r>
            <w:r>
              <w:rPr>
                <w:b/>
                <w:sz w:val="24"/>
              </w:rPr>
              <w:t>Base Jurídica</w:t>
            </w:r>
            <w:r>
              <w:rPr>
                <w:sz w:val="24"/>
              </w:rPr>
              <w:t>: Art. 6.1.b), c) y d) Reglamento General de Protección de Datos </w:t>
            </w:r>
            <w:r>
              <w:rPr>
                <w:b/>
                <w:sz w:val="22"/>
              </w:rPr>
              <w:t>Responsable: </w:t>
            </w:r>
            <w:r>
              <w:rPr>
                <w:sz w:val="24"/>
              </w:rPr>
              <w:t>Universidad de Zaragoza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line="259" w:lineRule="auto" w:before="1"/>
              <w:ind w:left="106" w:right="100"/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Ejercicio de Derechos </w:t>
            </w:r>
            <w:r>
              <w:rPr>
                <w:sz w:val="22"/>
              </w:rPr>
              <w:t>de acceso, rectificación, supresión, portabilidad, limitación u oposición al tratamiento ante el gerente de la Universidad conforme a </w:t>
            </w:r>
            <w:hyperlink r:id="rId10">
              <w:r>
                <w:rPr>
                  <w:b/>
                  <w:color w:val="0000FF"/>
                  <w:sz w:val="24"/>
                  <w:u w:val="single" w:color="0000FF"/>
                </w:rPr>
                <w:t>https://protecciondatos.unizar.es/procedimiento-seguir</w:t>
              </w:r>
            </w:hyperlink>
          </w:p>
          <w:p>
            <w:pPr>
              <w:pStyle w:val="TableParagraph"/>
              <w:spacing w:before="12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Información completa en:</w:t>
            </w:r>
          </w:p>
          <w:p>
            <w:pPr>
              <w:pStyle w:val="TableParagraph"/>
              <w:spacing w:line="261" w:lineRule="auto" w:before="142"/>
              <w:ind w:left="106"/>
              <w:rPr>
                <w:b/>
                <w:sz w:val="24"/>
              </w:rPr>
            </w:pP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https://protecciondatos.unizar.es/sites/protecciondatos.unizar.es/files/user</w:t>
              </w:r>
            </w:hyperlink>
            <w:r>
              <w:rPr>
                <w:b/>
                <w:color w:val="0000FF"/>
                <w:sz w:val="24"/>
              </w:rPr>
              <w:t> </w:t>
            </w:r>
            <w:hyperlink r:id="rId11">
              <w:r>
                <w:rPr>
                  <w:b/>
                  <w:color w:val="0000FF"/>
                  <w:sz w:val="24"/>
                  <w:u w:val="single" w:color="0000FF"/>
                </w:rPr>
                <w:t>s/lopd/gdocencia_extensa.pdf</w:t>
              </w:r>
            </w:hyperlink>
          </w:p>
          <w:p>
            <w:pPr>
              <w:pStyle w:val="TableParagraph"/>
              <w:spacing w:line="261" w:lineRule="auto" w:before="118"/>
              <w:ind w:left="106" w:right="103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Propiedad intelectual: </w:t>
            </w:r>
            <w:r>
              <w:rPr>
                <w:sz w:val="22"/>
              </w:rPr>
              <w:t>uso exclusivo en el entorno de aula virtual. Queda prohibida la difusión, distribución o divulgación de la grabación de las clases y particularmente su compartición en redes sociales o servicios dedicados a compartir apuntes. La infracción de esta prohibición puede generar responsabilidad disciplinaria, administrativa o civil</w:t>
            </w:r>
          </w:p>
          <w:p>
            <w:pPr>
              <w:pStyle w:val="TableParagraph"/>
              <w:spacing w:before="124"/>
              <w:ind w:left="3349"/>
              <w:rPr>
                <w:sz w:val="22"/>
              </w:rPr>
            </w:pPr>
            <w:r>
              <w:rPr>
                <w:sz w:val="22"/>
              </w:rPr>
              <w:t>Fuente de las imágenes: </w:t>
            </w:r>
            <w:hyperlink r:id="rId12">
              <w:r>
                <w:rPr>
                  <w:color w:val="0000FF"/>
                  <w:sz w:val="22"/>
                  <w:u w:val="single" w:color="0000FF"/>
                </w:rPr>
                <w:t>https:/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/pixabay.com/es</w:t>
              </w:r>
            </w:hyperlink>
          </w:p>
        </w:tc>
      </w:tr>
    </w:tbl>
    <w:sectPr>
      <w:footerReference w:type="default" r:id="rId13"/>
      <w:pgSz w:w="11910" w:h="16840"/>
      <w:pgMar w:footer="922" w:header="680" w:top="1820" w:bottom="1120" w:left="7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5pt;margin-top:779.484009pt;width:13.05pt;height:14.65pt;mso-position-horizontal-relative:page;mso-position-vertical-relative:page;z-index:-508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-1-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3.950012pt;margin-top:780.825012pt;width:7.6pt;height:13pt;mso-position-horizontal-relative:page;mso-position-vertical-relative:page;z-index:-5056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Arial"/>
                    <w:sz w:val="22"/>
                  </w:rPr>
                </w:pPr>
                <w:r>
                  <w:rPr>
                    <w:rFonts w:ascii="Arial"/>
                    <w:w w:val="91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268430351">
          <wp:simplePos x="0" y="0"/>
          <wp:positionH relativeFrom="page">
            <wp:posOffset>539750</wp:posOffset>
          </wp:positionH>
          <wp:positionV relativeFrom="page">
            <wp:posOffset>431800</wp:posOffset>
          </wp:positionV>
          <wp:extent cx="2178050" cy="73025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805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s://protecciondatos.unizar.es/procedimiento-seguir" TargetMode="External"/><Relationship Id="rId11" Type="http://schemas.openxmlformats.org/officeDocument/2006/relationships/hyperlink" Target="https://protecciondatos.unizar.es/sites/protecciondatos.unizar.es/files/users/lopd/gdocencia_extensa.pdf" TargetMode="External"/><Relationship Id="rId12" Type="http://schemas.openxmlformats.org/officeDocument/2006/relationships/hyperlink" Target="https://pixabay.com/es" TargetMode="External"/><Relationship Id="rId13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2020-09-21T08:46:13Z</dcterms:created>
  <dcterms:modified xsi:type="dcterms:W3CDTF">2020-09-21T08:46:13Z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</Properties>
</file>