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0569" w:rsidRPr="00CA5091" w:rsidRDefault="00140569" w:rsidP="00CA5091">
      <w:pPr>
        <w:spacing w:before="80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jc w:val="center"/>
        <w:rPr>
          <w:rFonts w:ascii="Itim" w:hAnsi="Itim" w:cs="Itim"/>
          <w:sz w:val="36"/>
        </w:rPr>
      </w:pPr>
      <w:r w:rsidRPr="00CA5091">
        <w:rPr>
          <w:rFonts w:ascii="Itim" w:hAnsi="Itim" w:cs="Itim"/>
          <w:caps/>
          <w:color w:val="AAAAAA"/>
          <w:szCs w:val="14"/>
        </w:rPr>
        <w:t>ESTRATEGIAS PARA LA DINAMIZACIÓN</w:t>
      </w:r>
    </w:p>
    <w:p w:rsidR="00140569" w:rsidRPr="00CA5091" w:rsidRDefault="00CC728D" w:rsidP="00CA5091">
      <w:pPr>
        <w:spacing w:after="240" w:line="276" w:lineRule="auto"/>
        <w:jc w:val="center"/>
        <w:rPr>
          <w:rFonts w:ascii="Itim" w:hAnsi="Itim" w:cs="Itim"/>
          <w:sz w:val="36"/>
        </w:rPr>
      </w:pPr>
      <w:r w:rsidRPr="00CA5091">
        <w:rPr>
          <w:rFonts w:ascii="Itim" w:hAnsi="Itim" w:cs="Itim"/>
          <w:caps/>
          <w:color w:val="AAAAAA"/>
          <w:szCs w:val="14"/>
        </w:rPr>
        <w:t xml:space="preserve">Y </w:t>
      </w:r>
      <w:proofErr w:type="spellStart"/>
      <w:r w:rsidRPr="00CA5091">
        <w:rPr>
          <w:rFonts w:ascii="Itim" w:hAnsi="Itim" w:cs="Itim"/>
          <w:caps/>
          <w:color w:val="AAAAAA"/>
          <w:szCs w:val="14"/>
        </w:rPr>
        <w:t>GAMIFICACIÓN</w:t>
      </w:r>
      <w:proofErr w:type="spellEnd"/>
      <w:r w:rsidRPr="00CA5091">
        <w:rPr>
          <w:rFonts w:ascii="Itim" w:hAnsi="Itim" w:cs="Itim"/>
          <w:caps/>
          <w:color w:val="AAAAAA"/>
          <w:szCs w:val="14"/>
        </w:rPr>
        <w:t xml:space="preserve"> EN EL AULA</w:t>
      </w:r>
    </w:p>
    <w:p w:rsidR="00140569" w:rsidRPr="007B19C0" w:rsidRDefault="00CC728D" w:rsidP="00CA5091">
      <w:pPr>
        <w:pBdr>
          <w:top w:val="single" w:sz="12" w:space="4" w:color="2E86C1"/>
          <w:bottom w:val="single" w:sz="12" w:space="4" w:color="2E86C1"/>
        </w:pBdr>
        <w:spacing w:before="200" w:after="240" w:line="276" w:lineRule="auto"/>
        <w:jc w:val="center"/>
        <w:rPr>
          <w:rFonts w:ascii="Itim" w:hAnsi="Itim" w:cs="Itim"/>
          <w:sz w:val="28"/>
        </w:rPr>
      </w:pPr>
      <w:r w:rsidRPr="007B19C0">
        <w:rPr>
          <w:rFonts w:ascii="Itim" w:hAnsi="Itim" w:cs="Itim"/>
          <w:b/>
          <w:bCs/>
          <w:color w:val="1A5276"/>
          <w:sz w:val="56"/>
          <w:szCs w:val="48"/>
        </w:rPr>
        <w:t>OTRAS DINÁMICAS PARA LA DINAMIZACIÓN DEL AULA</w:t>
      </w:r>
    </w:p>
    <w:p w:rsidR="00140569" w:rsidRPr="00CA5091" w:rsidRDefault="00140569" w:rsidP="00CA5091">
      <w:pPr>
        <w:spacing w:before="4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before="60" w:after="240" w:line="276" w:lineRule="auto"/>
        <w:jc w:val="center"/>
        <w:rPr>
          <w:rFonts w:ascii="Itim" w:hAnsi="Itim" w:cs="Itim"/>
          <w:sz w:val="32"/>
        </w:rPr>
      </w:pPr>
      <w:r w:rsidRPr="00CA5091">
        <w:rPr>
          <w:rFonts w:ascii="Itim" w:hAnsi="Itim" w:cs="Itim"/>
          <w:color w:val="2E86C1"/>
          <w:sz w:val="40"/>
          <w:szCs w:val="28"/>
        </w:rPr>
        <w:t>Manual de recursos docentes</w:t>
      </w:r>
    </w:p>
    <w:p w:rsidR="00140569" w:rsidRPr="00CA5091" w:rsidRDefault="00140569" w:rsidP="00CA5091">
      <w:pPr>
        <w:spacing w:before="40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jc w:val="center"/>
        <w:rPr>
          <w:rFonts w:ascii="Itim" w:hAnsi="Itim" w:cs="Itim"/>
        </w:rPr>
      </w:pPr>
      <w:r w:rsidRPr="00CA5091">
        <w:rPr>
          <w:rFonts w:ascii="Itim" w:hAnsi="Itim" w:cs="Itim"/>
          <w:color w:val="666666"/>
        </w:rPr>
        <w:t>Facultad de Educación · Universidad de Zaragoza</w:t>
      </w:r>
    </w:p>
    <w:p w:rsidR="00140569" w:rsidRPr="00CA5091" w:rsidRDefault="00CC728D" w:rsidP="00CA5091">
      <w:pPr>
        <w:spacing w:after="240" w:line="276" w:lineRule="auto"/>
        <w:jc w:val="center"/>
        <w:rPr>
          <w:rFonts w:ascii="Itim" w:hAnsi="Itim" w:cs="Itim"/>
        </w:rPr>
      </w:pPr>
      <w:r w:rsidRPr="00CA5091">
        <w:rPr>
          <w:rFonts w:ascii="Itim" w:hAnsi="Itim" w:cs="Itim"/>
          <w:color w:val="666666"/>
        </w:rPr>
        <w:t xml:space="preserve">Programa </w:t>
      </w:r>
      <w:proofErr w:type="spellStart"/>
      <w:r w:rsidRPr="00CA5091">
        <w:rPr>
          <w:rFonts w:ascii="Itim" w:hAnsi="Itim" w:cs="Itim"/>
          <w:color w:val="666666"/>
        </w:rPr>
        <w:t>PRAUZ</w:t>
      </w:r>
      <w:proofErr w:type="spellEnd"/>
      <w:r w:rsidRPr="00CA5091">
        <w:rPr>
          <w:rFonts w:ascii="Itim" w:hAnsi="Itim" w:cs="Itim"/>
          <w:color w:val="666666"/>
        </w:rPr>
        <w:t xml:space="preserve"> · Recursos en Abierto</w:t>
      </w:r>
    </w:p>
    <w:p w:rsidR="00140569" w:rsidRPr="00CA5091" w:rsidRDefault="00140569" w:rsidP="00CA5091">
      <w:pPr>
        <w:spacing w:before="20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jc w:val="center"/>
        <w:rPr>
          <w:rFonts w:ascii="Itim" w:hAnsi="Itim" w:cs="Itim"/>
        </w:rPr>
      </w:pPr>
      <w:r w:rsidRPr="00CA5091">
        <w:rPr>
          <w:rFonts w:ascii="Itim" w:hAnsi="Itim" w:cs="Itim"/>
          <w:color w:val="888888"/>
          <w:sz w:val="20"/>
          <w:szCs w:val="20"/>
        </w:rPr>
        <w:t xml:space="preserve">Ana </w:t>
      </w:r>
      <w:proofErr w:type="spellStart"/>
      <w:r w:rsidRPr="00CA5091">
        <w:rPr>
          <w:rFonts w:ascii="Itim" w:hAnsi="Itim" w:cs="Itim"/>
          <w:color w:val="888888"/>
          <w:sz w:val="20"/>
          <w:szCs w:val="20"/>
        </w:rPr>
        <w:t>Leonarte</w:t>
      </w:r>
      <w:proofErr w:type="spellEnd"/>
      <w:r w:rsidRPr="00CA5091">
        <w:rPr>
          <w:rFonts w:ascii="Itim" w:hAnsi="Itim" w:cs="Itim"/>
          <w:color w:val="888888"/>
          <w:sz w:val="20"/>
          <w:szCs w:val="20"/>
        </w:rPr>
        <w:t xml:space="preserve"> </w:t>
      </w:r>
      <w:proofErr w:type="spellStart"/>
      <w:r w:rsidRPr="00CA5091">
        <w:rPr>
          <w:rFonts w:ascii="Itim" w:hAnsi="Itim" w:cs="Itim"/>
          <w:color w:val="888888"/>
          <w:sz w:val="20"/>
          <w:szCs w:val="20"/>
        </w:rPr>
        <w:t>Benedí</w:t>
      </w:r>
      <w:proofErr w:type="spellEnd"/>
      <w:r w:rsidRPr="00CA5091">
        <w:rPr>
          <w:rFonts w:ascii="Itim" w:hAnsi="Itim" w:cs="Itim"/>
          <w:color w:val="888888"/>
          <w:sz w:val="20"/>
          <w:szCs w:val="20"/>
        </w:rPr>
        <w:t xml:space="preserve"> (coord.) · Departamento de Psicología y Sociología</w:t>
      </w:r>
    </w:p>
    <w:p w:rsidR="00140569" w:rsidRPr="00CA5091" w:rsidRDefault="00CC728D" w:rsidP="00CA5091">
      <w:pP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Introducción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Este manual complementa los recursos ya desarrollados dentro del módulo de Metodologías para la Dinamización del Aula del curso de Estrategias para la Dinamización y </w:t>
      </w:r>
      <w:proofErr w:type="spellStart"/>
      <w:r w:rsidRPr="00CA5091">
        <w:rPr>
          <w:rFonts w:ascii="Itim" w:hAnsi="Itim" w:cs="Itim"/>
          <w:color w:val="000000"/>
        </w:rPr>
        <w:t>Gamificación</w:t>
      </w:r>
      <w:proofErr w:type="spellEnd"/>
      <w:r w:rsidRPr="00CA5091">
        <w:rPr>
          <w:rFonts w:ascii="Itim" w:hAnsi="Itim" w:cs="Itim"/>
          <w:color w:val="000000"/>
        </w:rPr>
        <w:t xml:space="preserve"> en el Aula (</w:t>
      </w:r>
      <w:proofErr w:type="spellStart"/>
      <w:r w:rsidRPr="00CA5091">
        <w:rPr>
          <w:rFonts w:ascii="Itim" w:hAnsi="Itim" w:cs="Itim"/>
          <w:color w:val="000000"/>
        </w:rPr>
        <w:t>PRAUZ</w:t>
      </w:r>
      <w:proofErr w:type="spellEnd"/>
      <w:r w:rsidRPr="00CA5091">
        <w:rPr>
          <w:rFonts w:ascii="Itim" w:hAnsi="Itim" w:cs="Itim"/>
          <w:color w:val="000000"/>
        </w:rPr>
        <w:t xml:space="preserve">, Universidad de Zaragoza). En los materiales previos se han abordado las pautas básicas para mantener la atención, las pausas activas, la creación de un ambiente adecuado, las técnicas de </w:t>
      </w:r>
      <w:proofErr w:type="spellStart"/>
      <w:r w:rsidRPr="00CA5091">
        <w:rPr>
          <w:rFonts w:ascii="Itim" w:hAnsi="Itim" w:cs="Itim"/>
          <w:color w:val="000000"/>
        </w:rPr>
        <w:t>mindfulness</w:t>
      </w:r>
      <w:proofErr w:type="spellEnd"/>
      <w:r w:rsidRPr="00CA5091">
        <w:rPr>
          <w:rFonts w:ascii="Itim" w:hAnsi="Itim" w:cs="Itim"/>
          <w:color w:val="000000"/>
        </w:rPr>
        <w:t>, el uso de ritmos musicales y las estrategias creativas.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En este manual se recogen otras dinámicas complementarias que el docente puede incorporar en sus aulas para seguir promoviendo un aprendizaje activo, participativo y motivador. Estas dinámicas se organizan en cuatro grandes bloques: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Dinámicas de presentación y cohesión grupal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Técnicas de participación y debate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Estrategias de aprendizaje cooperativo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Dinámicas de cierre y reflexión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Cada bloque incluye una descripción de las dinámicas, orientaciones para su implementación, variantes y adaptaciones, y referencias bibliográficas para profundizar en cada técnica.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 w:rsidTr="00CA5091">
        <w:trPr>
          <w:trHeight w:val="137"/>
        </w:trPr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86C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¿A quién va dirigido este manual?</w:t>
            </w:r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Docentes universitarios que deseen enriquecer su práctica en el aula.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Estudiantes de grados en Magisterio y del Máster en Profesorado de Secundaria.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Cualquier educador interesado en metodologías activas y participativas.</w:t>
            </w:r>
          </w:p>
        </w:tc>
      </w:tr>
    </w:tbl>
    <w:p w:rsidR="00140569" w:rsidRPr="00CA5091" w:rsidRDefault="00140569" w:rsidP="00CA5091">
      <w:pPr>
        <w:spacing w:before="8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1. Dinámicas de presentación y cohesión grupal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Las dinámicas de presentación y cohesión son especialmente útiles al inicio de un curso, asignatura o cuando se forman nuevos grupos de trabajo. Su objetivo es romper el hielo, facilitar el conocimiento mutuo y generar un clima de confianza que favorezca la participación. Según Johnson y Johnson (2009), un clima grupal positivo es uno de los predictores más sólidos del rendimiento académico cooperativo.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1.1. La telaraña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clásica de presentación que facilita la visualización de las conexiones entre los miembros del grupo.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86C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Cómo aplicarla en el aula</w:t>
            </w:r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El docente inicia lanzando un ovillo de lana a un estudiante mientras sostiene el extremo.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Quien recibe el ovillo se presenta (nombre, expectativas, algo personal) y lanza el ovillo a otro compañero sin soltar su parte.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Se continúa hasta que todos hayan participado, generando una red visible.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Al finalizar, se reflexiona sobre la red: nadie puede moverse sin afectar al resto → interdependencia grupal.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Tiempo estimado: 15-25 minutos.</w:t>
            </w:r>
          </w:p>
        </w:tc>
      </w:tr>
    </w:tbl>
    <w:p w:rsidR="00CA5091" w:rsidRDefault="00CA5091" w:rsidP="00CA5091">
      <w:pPr>
        <w:spacing w:before="80" w:after="240" w:line="276" w:lineRule="auto"/>
        <w:jc w:val="both"/>
        <w:rPr>
          <w:rFonts w:ascii="Itim" w:hAnsi="Itim" w:cs="Itim"/>
          <w:color w:val="000000"/>
        </w:rPr>
      </w:pPr>
      <w:r w:rsidRPr="00CA5091">
        <w:rPr>
          <w:rFonts w:ascii="Itim" w:hAnsi="Itim" w:cs="Itim"/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539E550C" wp14:editId="7C3197E7">
            <wp:simplePos x="0" y="0"/>
            <wp:positionH relativeFrom="margin">
              <wp:align>left</wp:align>
            </wp:positionH>
            <wp:positionV relativeFrom="paragraph">
              <wp:posOffset>57785</wp:posOffset>
            </wp:positionV>
            <wp:extent cx="1256400" cy="1256400"/>
            <wp:effectExtent l="0" t="0" r="1270" b="127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Variante digital: con herramientas como </w:t>
      </w:r>
      <w:proofErr w:type="spellStart"/>
      <w:r w:rsidRPr="00CA5091">
        <w:rPr>
          <w:rFonts w:ascii="Itim" w:hAnsi="Itim" w:cs="Itim"/>
          <w:color w:val="000000"/>
        </w:rPr>
        <w:t>Mentimeter</w:t>
      </w:r>
      <w:proofErr w:type="spellEnd"/>
      <w:r w:rsidRPr="00CA5091">
        <w:rPr>
          <w:rFonts w:ascii="Itim" w:hAnsi="Itim" w:cs="Itim"/>
          <w:color w:val="000000"/>
        </w:rPr>
        <w:t xml:space="preserve"> o </w:t>
      </w:r>
      <w:proofErr w:type="spellStart"/>
      <w:r w:rsidRPr="00CA5091">
        <w:rPr>
          <w:rFonts w:ascii="Itim" w:hAnsi="Itim" w:cs="Itim"/>
          <w:color w:val="000000"/>
        </w:rPr>
        <w:t>Padlet</w:t>
      </w:r>
      <w:proofErr w:type="spellEnd"/>
      <w:r w:rsidRPr="00CA5091">
        <w:rPr>
          <w:rFonts w:ascii="Itim" w:hAnsi="Itim" w:cs="Itim"/>
          <w:color w:val="000000"/>
        </w:rPr>
        <w:t>, cada estudiante escribe su nombre y tres palabras que lo definen. El docente proyecta los resultados y crea conexiones visuales temáticas.</w:t>
      </w:r>
    </w:p>
    <w:p w:rsidR="00140569" w:rsidRPr="00CA5091" w:rsidRDefault="00140569" w:rsidP="00CA5091">
      <w:pPr>
        <w:spacing w:before="6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1.2. El mapa de talentos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orientada a visibilizar las fortalezas individuales y fomentar el reconocimiento entre iguales. Resulta especialmente útil en grupos que van a trabajar en proyectos colaborativos.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Cada estudiante recibe una ficha y escribe tres habilidades o conocimientos que puede aportar al grupo.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Se ponen en común en pequeños grupos (3-4 personas) y se identifica qué talento puede complementar al de los demás.</w:t>
      </w:r>
    </w:p>
    <w:p w:rsidR="00140569" w:rsidRPr="00CA5091" w:rsidRDefault="00CC728D" w:rsidP="002356E9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Cada grupo comparte en plenario el «talento colectivo» del equipo.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1.3. Dos verdades y una mentira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de bajo coste y alta participación, eficaz para distender el ambiente y facilitar el conocimiento mutuo de forma lúdica. Puede utilizarse también como activación de conocimientos previos sobre contenido curricular.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7E22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Pasos para aplicarla</w:t>
            </w:r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BD0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1. Cada participante escribe tres afirmaciones sobre sí mismo (o sobre el tema a trabajar): dos verdaderas y una falsa.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2. Las comparte con el grupo, que debe adivinar cuál es la mentira.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3. Se genera debate y conversación espontánea.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Adaptación curricular: las afirmaciones pueden ser sobre conceptos de la asignatura, fomentando así el repaso de contenidos de forma amena.</w:t>
            </w:r>
          </w:p>
        </w:tc>
      </w:tr>
    </w:tbl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1.4. La línea de valores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de posicionamiento que invita a los participantes a reflexionar sobre sus creencias o conocimientos previos y a moverse físicamente por el espacio del aula.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El docente propone una afirmación relacionada con la asignatura o con valores personales.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Los estudiantes se colocan a lo largo de una línea imaginaria en el aula según su grado de acuerdo (de «totalmente de acuerdo» a «totalmente en desacuerdo»).</w:t>
      </w:r>
    </w:p>
    <w:p w:rsidR="00140569" w:rsidRPr="00CA5091" w:rsidRDefault="00CC728D" w:rsidP="00A1281C">
      <w:pPr>
        <w:pStyle w:val="Prrafodelista"/>
        <w:numPr>
          <w:ilvl w:val="0"/>
          <w:numId w:val="2"/>
        </w:numPr>
        <w:spacing w:before="4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Se invita a algunos participantes a explicar su posición. Se puede debatir y cambiar de posición si alguien ha modificado su opinión.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Esta dinámica promueve el pensamiento crítico y la escucha activa, y puede utilizarse tanto como actividad de inicio como de cierre de un tema (</w:t>
      </w:r>
      <w:proofErr w:type="spellStart"/>
      <w:r w:rsidRPr="00CA5091">
        <w:rPr>
          <w:rFonts w:ascii="Itim" w:hAnsi="Itim" w:cs="Itim"/>
          <w:color w:val="000000"/>
        </w:rPr>
        <w:t>Barkley</w:t>
      </w:r>
      <w:proofErr w:type="spellEnd"/>
      <w:r w:rsidRPr="00CA5091">
        <w:rPr>
          <w:rFonts w:ascii="Itim" w:hAnsi="Itim" w:cs="Itim"/>
          <w:color w:val="000000"/>
        </w:rPr>
        <w:t xml:space="preserve">, Cross y </w:t>
      </w:r>
      <w:proofErr w:type="spellStart"/>
      <w:r w:rsidRPr="00CA5091">
        <w:rPr>
          <w:rFonts w:ascii="Itim" w:hAnsi="Itim" w:cs="Itim"/>
          <w:color w:val="000000"/>
        </w:rPr>
        <w:t>Major</w:t>
      </w:r>
      <w:proofErr w:type="spellEnd"/>
      <w:r w:rsidRPr="00CA5091">
        <w:rPr>
          <w:rFonts w:ascii="Itim" w:hAnsi="Itim" w:cs="Itim"/>
          <w:color w:val="000000"/>
        </w:rPr>
        <w:t>, 2014).</w:t>
      </w:r>
    </w:p>
    <w:p w:rsidR="00140569" w:rsidRPr="00CA5091" w:rsidRDefault="00140569" w:rsidP="00CA5091">
      <w:pPr>
        <w:spacing w:before="8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2. Técnicas de participación y debate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Promover la participación activa del alumnado es uno de los retos más frecuentes en el aula universitaria. Las técnicas de participación y debate no solo incrementan la implicación del estudiante, sino que favorecen el desarrollo del pensamiento crítico, la argumentación y la comunicación oral (</w:t>
      </w:r>
      <w:proofErr w:type="spellStart"/>
      <w:r w:rsidRPr="00CA5091">
        <w:rPr>
          <w:rFonts w:ascii="Itim" w:hAnsi="Itim" w:cs="Itim"/>
          <w:color w:val="000000"/>
        </w:rPr>
        <w:t>Petress</w:t>
      </w:r>
      <w:proofErr w:type="spellEnd"/>
      <w:r w:rsidRPr="00CA5091">
        <w:rPr>
          <w:rFonts w:ascii="Itim" w:hAnsi="Itim" w:cs="Itim"/>
          <w:color w:val="000000"/>
        </w:rPr>
        <w:t>, 2006).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2.1. Lluvia de ideas (</w:t>
      </w:r>
      <w:proofErr w:type="spellStart"/>
      <w:r w:rsidRPr="00CA5091">
        <w:rPr>
          <w:rFonts w:ascii="Itim" w:hAnsi="Itim" w:cs="Itim"/>
        </w:rPr>
        <w:t>Brainstorming</w:t>
      </w:r>
      <w:proofErr w:type="spellEnd"/>
      <w:r w:rsidRPr="00CA5091">
        <w:rPr>
          <w:rFonts w:ascii="Itim" w:hAnsi="Itim" w:cs="Itim"/>
        </w:rPr>
        <w:t>)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Técnica clásica de generación de ideas de forma libre y sin juicios previos, propuesta por Alex </w:t>
      </w:r>
      <w:proofErr w:type="spellStart"/>
      <w:r w:rsidRPr="00CA5091">
        <w:rPr>
          <w:rFonts w:ascii="Itim" w:hAnsi="Itim" w:cs="Itim"/>
          <w:color w:val="000000"/>
        </w:rPr>
        <w:t>Osborn</w:t>
      </w:r>
      <w:proofErr w:type="spellEnd"/>
      <w:r w:rsidRPr="00CA5091">
        <w:rPr>
          <w:rFonts w:ascii="Itim" w:hAnsi="Itim" w:cs="Itim"/>
          <w:color w:val="000000"/>
        </w:rPr>
        <w:t xml:space="preserve"> en los años 50 y ampliamente validada en contextos educativos.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26"/>
      </w:tblGrid>
      <w:tr w:rsidR="00140569" w:rsidRPr="00CA5091" w:rsidTr="00CA5091">
        <w:trPr>
          <w:trHeight w:hRule="exact" w:val="589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Fase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Acción del docente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Acción del alumnado</w:t>
            </w:r>
          </w:p>
        </w:tc>
      </w:tr>
      <w:tr w:rsidR="00140569" w:rsidRPr="00CA5091" w:rsidTr="00CA5091">
        <w:trPr>
          <w:trHeight w:hRule="exact" w:val="627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1. Preparación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Presenta la pregunta o reto de forma clara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Escucha y anota la pregunta</w:t>
            </w:r>
          </w:p>
        </w:tc>
      </w:tr>
      <w:tr w:rsidR="00140569" w:rsidRPr="00CA5091" w:rsidTr="00CA5091">
        <w:trPr>
          <w:trHeight w:hRule="exact" w:val="624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2. Generación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Facilita sin juzgar ni valorar las ideas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Propone ideas libremente (cantidad &gt; calidad)</w:t>
            </w:r>
          </w:p>
        </w:tc>
      </w:tr>
      <w:tr w:rsidR="00140569" w:rsidRPr="00CA5091" w:rsidTr="00CA5091">
        <w:trPr>
          <w:trHeight w:hRule="exact" w:val="634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3. Organización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Agrupa ideas en categorías en la pizarra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Participa en la clasificación</w:t>
            </w:r>
          </w:p>
        </w:tc>
      </w:tr>
      <w:tr w:rsidR="00140569" w:rsidRPr="00CA5091" w:rsidTr="00CA5091">
        <w:trPr>
          <w:trHeight w:hRule="exact" w:val="631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4. Evaluación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Guía la selección de las ideas más potentes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Argumenta y selecciona en grupo</w:t>
            </w:r>
          </w:p>
        </w:tc>
      </w:tr>
    </w:tbl>
    <w:p w:rsidR="007B19C0" w:rsidRDefault="007B19C0" w:rsidP="00CA5091">
      <w:pPr>
        <w:spacing w:before="80" w:after="240" w:line="276" w:lineRule="auto"/>
        <w:jc w:val="both"/>
        <w:rPr>
          <w:rFonts w:ascii="Itim" w:hAnsi="Itim" w:cs="Itim"/>
          <w:color w:val="000000"/>
        </w:rPr>
      </w:pPr>
      <w:r w:rsidRPr="00CA5091">
        <w:rPr>
          <w:rFonts w:ascii="Itim" w:hAnsi="Itim" w:cs="Itim"/>
          <w:noProof/>
          <w:color w:val="000000"/>
        </w:rPr>
        <w:drawing>
          <wp:anchor distT="0" distB="0" distL="114300" distR="114300" simplePos="0" relativeHeight="251660288" behindDoc="0" locked="0" layoutInCell="1" allowOverlap="1" wp14:anchorId="125BCBF5" wp14:editId="66AC3A30">
            <wp:simplePos x="0" y="0"/>
            <wp:positionH relativeFrom="margin">
              <wp:align>left</wp:align>
            </wp:positionH>
            <wp:positionV relativeFrom="paragraph">
              <wp:posOffset>58420</wp:posOffset>
            </wp:positionV>
            <wp:extent cx="1256030" cy="1256030"/>
            <wp:effectExtent l="0" t="0" r="1270" b="127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030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569" w:rsidRDefault="00CC728D" w:rsidP="00CA5091">
      <w:pPr>
        <w:spacing w:before="80" w:after="240" w:line="276" w:lineRule="auto"/>
        <w:jc w:val="both"/>
        <w:rPr>
          <w:rFonts w:ascii="Itim" w:hAnsi="Itim" w:cs="Itim"/>
          <w:color w:val="000000"/>
        </w:rPr>
      </w:pPr>
      <w:r w:rsidRPr="00CA5091">
        <w:rPr>
          <w:rFonts w:ascii="Itim" w:hAnsi="Itim" w:cs="Itim"/>
          <w:color w:val="000000"/>
        </w:rPr>
        <w:t xml:space="preserve">Variantes: </w:t>
      </w:r>
      <w:proofErr w:type="spellStart"/>
      <w:r w:rsidRPr="00CA5091">
        <w:rPr>
          <w:rFonts w:ascii="Itim" w:hAnsi="Itim" w:cs="Itim"/>
          <w:color w:val="000000"/>
        </w:rPr>
        <w:t>Brainwriting</w:t>
      </w:r>
      <w:proofErr w:type="spellEnd"/>
      <w:r w:rsidRPr="00CA5091">
        <w:rPr>
          <w:rFonts w:ascii="Itim" w:hAnsi="Itim" w:cs="Itim"/>
          <w:color w:val="000000"/>
        </w:rPr>
        <w:t xml:space="preserve"> (por escrito de forma simultánea), Round </w:t>
      </w:r>
      <w:proofErr w:type="spellStart"/>
      <w:r w:rsidRPr="00CA5091">
        <w:rPr>
          <w:rFonts w:ascii="Itim" w:hAnsi="Itim" w:cs="Itim"/>
          <w:color w:val="000000"/>
        </w:rPr>
        <w:t>Robin</w:t>
      </w:r>
      <w:proofErr w:type="spellEnd"/>
      <w:r w:rsidRPr="00CA5091">
        <w:rPr>
          <w:rFonts w:ascii="Itim" w:hAnsi="Itim" w:cs="Itim"/>
          <w:color w:val="000000"/>
        </w:rPr>
        <w:t xml:space="preserve"> (cada persona aporta una idea por turno), o </w:t>
      </w:r>
      <w:proofErr w:type="spellStart"/>
      <w:r w:rsidRPr="00CA5091">
        <w:rPr>
          <w:rFonts w:ascii="Itim" w:hAnsi="Itim" w:cs="Itim"/>
          <w:color w:val="000000"/>
        </w:rPr>
        <w:t>Mind</w:t>
      </w:r>
      <w:proofErr w:type="spellEnd"/>
      <w:r w:rsidRPr="00CA5091">
        <w:rPr>
          <w:rFonts w:ascii="Itim" w:hAnsi="Itim" w:cs="Itim"/>
          <w:color w:val="000000"/>
        </w:rPr>
        <w:t xml:space="preserve"> </w:t>
      </w:r>
      <w:proofErr w:type="spellStart"/>
      <w:r w:rsidRPr="00CA5091">
        <w:rPr>
          <w:rFonts w:ascii="Itim" w:hAnsi="Itim" w:cs="Itim"/>
          <w:color w:val="000000"/>
        </w:rPr>
        <w:t>Map</w:t>
      </w:r>
      <w:proofErr w:type="spellEnd"/>
      <w:r w:rsidRPr="00CA5091">
        <w:rPr>
          <w:rFonts w:ascii="Itim" w:hAnsi="Itim" w:cs="Itim"/>
          <w:color w:val="000000"/>
        </w:rPr>
        <w:t xml:space="preserve"> digital (con herramientas como Miro o </w:t>
      </w:r>
      <w:proofErr w:type="spellStart"/>
      <w:r w:rsidRPr="00CA5091">
        <w:rPr>
          <w:rFonts w:ascii="Itim" w:hAnsi="Itim" w:cs="Itim"/>
          <w:color w:val="000000"/>
        </w:rPr>
        <w:t>Coggle</w:t>
      </w:r>
      <w:proofErr w:type="spellEnd"/>
      <w:r w:rsidRPr="00CA5091">
        <w:rPr>
          <w:rFonts w:ascii="Itim" w:hAnsi="Itim" w:cs="Itim"/>
          <w:color w:val="000000"/>
        </w:rPr>
        <w:t>).</w:t>
      </w:r>
    </w:p>
    <w:p w:rsidR="00CA5091" w:rsidRPr="00CA5091" w:rsidRDefault="00CA5091" w:rsidP="00CA5091">
      <w:pPr>
        <w:spacing w:before="80" w:after="240" w:line="276" w:lineRule="auto"/>
        <w:jc w:val="both"/>
        <w:rPr>
          <w:rFonts w:ascii="Itim" w:hAnsi="Itim" w:cs="Itim"/>
        </w:rPr>
      </w:pP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2.2. Técnica 1-2-4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Estructura de participación progresiva que amplía la reflexión individual antes de llegar a la discusión en grupo grande. Es especialmente eficaz en clases numerosas.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1 → Cada estudiante reflexiona individualmente sobre una pregunta (2-3 min).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2 → Comparte y contrasta su respuesta con la persona de al lado (3-4 min).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 xml:space="preserve">4 → Los pares se unen formando grupos de cuatro y </w:t>
      </w:r>
      <w:proofErr w:type="spellStart"/>
      <w:r w:rsidRPr="00CA5091">
        <w:rPr>
          <w:rFonts w:ascii="Itim" w:hAnsi="Itim" w:cs="Itim"/>
        </w:rPr>
        <w:t>consensúan</w:t>
      </w:r>
      <w:proofErr w:type="spellEnd"/>
      <w:r w:rsidRPr="00CA5091">
        <w:rPr>
          <w:rFonts w:ascii="Itim" w:hAnsi="Itim" w:cs="Itim"/>
        </w:rPr>
        <w:t xml:space="preserve"> una respuesta (4-5 min).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Grupo grande → Cada grupo comparte su síntesis en plenario.</w:t>
      </w:r>
    </w:p>
    <w:p w:rsidR="00140569" w:rsidRPr="00CA5091" w:rsidRDefault="00140569" w:rsidP="00CA5091">
      <w:pPr>
        <w:spacing w:before="4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lastRenderedPageBreak/>
        <w:t>Esta técnica, derivada del aprendizaje cooperativo, garantiza que todos los estudiantes participen antes de llegar a la discusión colectiva, reduciendo el efecto del «polizón» y aumentando la calidad de las aportaciones (</w:t>
      </w:r>
      <w:proofErr w:type="spellStart"/>
      <w:r w:rsidRPr="00CA5091">
        <w:rPr>
          <w:rFonts w:ascii="Itim" w:hAnsi="Itim" w:cs="Itim"/>
          <w:color w:val="000000"/>
        </w:rPr>
        <w:t>Kagan</w:t>
      </w:r>
      <w:proofErr w:type="spellEnd"/>
      <w:r w:rsidRPr="00CA5091">
        <w:rPr>
          <w:rFonts w:ascii="Itim" w:hAnsi="Itim" w:cs="Itim"/>
          <w:color w:val="000000"/>
        </w:rPr>
        <w:t>, 2009).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2.3. Debate Oxford o debate estructurado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Formato de debate formal en el que dos equipos defienden posturas opuestas ante una proposición, con tiempos establecidos para la argumentación, la réplica y la conclusión.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86C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Estructura básica del debate Oxford</w:t>
            </w:r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Apertura: cada equipo presenta su postura (2-3 min/equipo).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Argumentación: cada equipo expone sus principales argumentos (5-7 min/equipo).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Réplica: cada equipo responde a los argumentos contrarios (3-4 min/equipo).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Cierre: síntesis y argumentos finales (2 min/equipo).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Votación: el público/clase vota cuál postura resultó más convincente.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21"/>
                <w:szCs w:val="21"/>
              </w:rPr>
              <w:t>Tip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</w:rPr>
              <w:t>: se puede asignar la postura de forma aleatoria para trabajar la argumentación desde ángulos no elegidos.</w:t>
            </w:r>
          </w:p>
        </w:tc>
      </w:tr>
    </w:tbl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2.4. El método del acuario (</w:t>
      </w:r>
      <w:proofErr w:type="spellStart"/>
      <w:r w:rsidRPr="00CA5091">
        <w:rPr>
          <w:rFonts w:ascii="Itim" w:hAnsi="Itim" w:cs="Itim"/>
        </w:rPr>
        <w:t>Fishbowl</w:t>
      </w:r>
      <w:proofErr w:type="spellEnd"/>
      <w:r w:rsidRPr="00CA5091">
        <w:rPr>
          <w:rFonts w:ascii="Itim" w:hAnsi="Itim" w:cs="Itim"/>
        </w:rPr>
        <w:t>)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de debate que diferencia entre participantes activos y observadores, favoreciendo la escucha activa y el análisis crítico desde distintos roles.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Un grupo reducido (4-6 personas) debate en el centro del aula mientras el resto observa.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Los observadores toman nota de argumentos, estructura del debate, falacias o puntos fuertes.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Tras el debate, los observadores comparten sus reflexiones.</w:t>
      </w:r>
    </w:p>
    <w:p w:rsidR="00140569" w:rsidRPr="00CA5091" w:rsidRDefault="00CC728D" w:rsidP="00C52715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Se pueden rotar los roles para que todos experimenten ambas posiciones.</w:t>
      </w:r>
    </w:p>
    <w:p w:rsidR="00CA5091" w:rsidRDefault="00CA5091">
      <w:pPr>
        <w:rPr>
          <w:rFonts w:ascii="Itim" w:hAnsi="Itim" w:cs="Itim"/>
          <w:b/>
          <w:bCs/>
          <w:color w:val="2E86C1"/>
          <w:sz w:val="26"/>
          <w:szCs w:val="26"/>
        </w:rPr>
      </w:pPr>
      <w:r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2.5. Phillips 66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Técnica de participación masiva en grupos grandes. Permite obtener ideas u opiniones de todos los participantes en un tiempo muy reducido (Phillips, 1948).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Se forman grupos de 6 personas.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Cada grupo dispone de 6 minutos para discutir una pregunta concreta.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Cada grupo aporta una conclusión o idea principal al plenario.</w:t>
      </w:r>
    </w:p>
    <w:p w:rsidR="00140569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El docente sintetiza los resultados en la pizarra o en una herramienta digital.</w:t>
      </w:r>
    </w:p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3. Estrategias de aprendizaje cooperativo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El aprendizaje cooperativo es uno de los enfoques más respaldados por la investigación educativa. A diferencia del trabajo en grupo tradicional, el aprendizaje cooperativo implica interdependencia positiva, responsabilidad individual, interacción cara a cara, habilidades sociales y procesamiento grupal (Johnson, Johnson y </w:t>
      </w:r>
      <w:proofErr w:type="spellStart"/>
      <w:r w:rsidRPr="00CA5091">
        <w:rPr>
          <w:rFonts w:ascii="Itim" w:hAnsi="Itim" w:cs="Itim"/>
          <w:color w:val="000000"/>
        </w:rPr>
        <w:t>Holubec</w:t>
      </w:r>
      <w:proofErr w:type="spellEnd"/>
      <w:r w:rsidRPr="00CA5091">
        <w:rPr>
          <w:rFonts w:ascii="Itim" w:hAnsi="Itim" w:cs="Itim"/>
          <w:color w:val="000000"/>
        </w:rPr>
        <w:t xml:space="preserve">, 2013). A </w:t>
      </w:r>
      <w:r w:rsidR="00CA5091" w:rsidRPr="00CA5091">
        <w:rPr>
          <w:rFonts w:ascii="Itim" w:hAnsi="Itim" w:cs="Itim"/>
          <w:color w:val="000000"/>
        </w:rPr>
        <w:t>continuación,</w:t>
      </w:r>
      <w:r w:rsidRPr="00CA5091">
        <w:rPr>
          <w:rFonts w:ascii="Itim" w:hAnsi="Itim" w:cs="Itim"/>
          <w:color w:val="000000"/>
        </w:rPr>
        <w:t xml:space="preserve"> se presentan algunas de las técnicas más versátiles y aplicables en el aula universitaria.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3.1. Rompecabezas (</w:t>
      </w:r>
      <w:proofErr w:type="spellStart"/>
      <w:r w:rsidRPr="00CA5091">
        <w:rPr>
          <w:rFonts w:ascii="Itim" w:hAnsi="Itim" w:cs="Itim"/>
        </w:rPr>
        <w:t>Jigsaw</w:t>
      </w:r>
      <w:proofErr w:type="spellEnd"/>
      <w:r w:rsidRPr="00CA5091">
        <w:rPr>
          <w:rFonts w:ascii="Itim" w:hAnsi="Itim" w:cs="Itim"/>
        </w:rPr>
        <w:t>)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Técnica desarrollada por </w:t>
      </w:r>
      <w:proofErr w:type="spellStart"/>
      <w:r w:rsidRPr="00CA5091">
        <w:rPr>
          <w:rFonts w:ascii="Itim" w:hAnsi="Itim" w:cs="Itim"/>
          <w:color w:val="000000"/>
        </w:rPr>
        <w:t>Elliot</w:t>
      </w:r>
      <w:proofErr w:type="spellEnd"/>
      <w:r w:rsidRPr="00CA5091">
        <w:rPr>
          <w:rFonts w:ascii="Itim" w:hAnsi="Itim" w:cs="Itim"/>
          <w:color w:val="000000"/>
        </w:rPr>
        <w:t xml:space="preserve"> </w:t>
      </w:r>
      <w:proofErr w:type="spellStart"/>
      <w:r w:rsidRPr="00CA5091">
        <w:rPr>
          <w:rFonts w:ascii="Itim" w:hAnsi="Itim" w:cs="Itim"/>
          <w:color w:val="000000"/>
        </w:rPr>
        <w:t>Aronson</w:t>
      </w:r>
      <w:proofErr w:type="spellEnd"/>
      <w:r w:rsidRPr="00CA5091">
        <w:rPr>
          <w:rFonts w:ascii="Itim" w:hAnsi="Itim" w:cs="Itim"/>
          <w:color w:val="000000"/>
        </w:rPr>
        <w:t xml:space="preserve"> en 1971 en la que cada estudiante es «experto» en una parte del contenido y debe enseñársela al resto del grupo.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86C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 xml:space="preserve">Fases del </w:t>
            </w:r>
            <w:proofErr w:type="spellStart"/>
            <w:r w:rsidRPr="00CA5091">
              <w:rPr>
                <w:rFonts w:ascii="Itim" w:hAnsi="Itim" w:cs="Itim"/>
                <w:b/>
                <w:bCs/>
                <w:color w:val="FFFFFF"/>
              </w:rPr>
              <w:t>Jigsaw</w:t>
            </w:r>
            <w:proofErr w:type="spellEnd"/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1. Grupos base: se forman grupos de 4-6 estudiantes y se asigna a cada miembro una parte del contenido.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2. Grupos de expertos: todos los estudiantes que tienen la misma parte se reúnen para estudiarla en profundidad.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3. Vuelta a grupos base: cada experto enseña su parte al resto del grupo.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4. Evaluación individual: todos son evaluados sobre el contenido completo.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Resultado: nadie puede aprobar sin la contribución de todos → interdependencia real.</w:t>
            </w:r>
          </w:p>
        </w:tc>
      </w:tr>
    </w:tbl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Esta técnica es especialmente eficaz en temarios extensos y promueve la responsabilidad individual y las habilidades de comunicación oral (</w:t>
      </w:r>
      <w:proofErr w:type="spellStart"/>
      <w:r w:rsidRPr="00CA5091">
        <w:rPr>
          <w:rFonts w:ascii="Itim" w:hAnsi="Itim" w:cs="Itim"/>
          <w:color w:val="000000"/>
        </w:rPr>
        <w:t>Aronson</w:t>
      </w:r>
      <w:proofErr w:type="spellEnd"/>
      <w:r w:rsidRPr="00CA5091">
        <w:rPr>
          <w:rFonts w:ascii="Itim" w:hAnsi="Itim" w:cs="Itim"/>
          <w:color w:val="000000"/>
        </w:rPr>
        <w:t xml:space="preserve"> et al., 1978; </w:t>
      </w:r>
      <w:proofErr w:type="spellStart"/>
      <w:r w:rsidRPr="00CA5091">
        <w:rPr>
          <w:rFonts w:ascii="Itim" w:hAnsi="Itim" w:cs="Itim"/>
          <w:color w:val="000000"/>
        </w:rPr>
        <w:t>Slavin</w:t>
      </w:r>
      <w:proofErr w:type="spellEnd"/>
      <w:r w:rsidRPr="00CA5091">
        <w:rPr>
          <w:rFonts w:ascii="Itim" w:hAnsi="Itim" w:cs="Itim"/>
          <w:color w:val="000000"/>
        </w:rPr>
        <w:t>, 1990).</w:t>
      </w:r>
    </w:p>
    <w:p w:rsidR="00CA5091" w:rsidRDefault="00CA5091">
      <w:pPr>
        <w:rPr>
          <w:rFonts w:ascii="Itim" w:hAnsi="Itim" w:cs="Itim"/>
        </w:rPr>
      </w:pPr>
      <w:r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3.2. Lápices al centro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Estrategia cooperativa diseñada para garantizar la participación equitativa de todos los miembros del grupo en la resolución de tareas escritas.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El docente plantea una pregunta o tarea.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Todos los estudiantes colocan su lápiz/bolígrafo en el centro de la mesa → nadie escribe.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El grupo discute y acuerda la respuesta oralmente.</w:t>
      </w:r>
    </w:p>
    <w:p w:rsidR="00140569" w:rsidRPr="00CA5091" w:rsidRDefault="00CC728D" w:rsidP="00E42292">
      <w:pPr>
        <w:pStyle w:val="Prrafodelista"/>
        <w:numPr>
          <w:ilvl w:val="0"/>
          <w:numId w:val="2"/>
        </w:numPr>
        <w:spacing w:before="4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Cuando se llega al consenso, cada uno recoge su lápiz y escribe la respuesta de forma individual.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Esta estructura evita que uno solo del grupo realice el trabajo y fomenta la discusión real antes de la producción escrita (</w:t>
      </w:r>
      <w:proofErr w:type="spellStart"/>
      <w:r w:rsidRPr="00CA5091">
        <w:rPr>
          <w:rFonts w:ascii="Itim" w:hAnsi="Itim" w:cs="Itim"/>
          <w:color w:val="000000"/>
        </w:rPr>
        <w:t>Kagan</w:t>
      </w:r>
      <w:proofErr w:type="spellEnd"/>
      <w:r w:rsidRPr="00CA5091">
        <w:rPr>
          <w:rFonts w:ascii="Itim" w:hAnsi="Itim" w:cs="Itim"/>
          <w:color w:val="000000"/>
        </w:rPr>
        <w:t>, 2009).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3.3. Folio giratorio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Técnica de escritura cooperativa en la que todos los miembros del grupo contribuyen de forma secuencial y visible a la construcción de un texto o listado colectivo.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Un folio circula entre los miembros del grupo.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Cada estudiante escribe una idea, argumento o solución y lo pasa al siguiente.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Nadie puede repetir una idea ya escrita.</w:t>
      </w:r>
    </w:p>
    <w:p w:rsidR="00140569" w:rsidRPr="00CA5091" w:rsidRDefault="00CA5091" w:rsidP="008A4F07">
      <w:pPr>
        <w:pStyle w:val="Prrafodelista"/>
        <w:numPr>
          <w:ilvl w:val="0"/>
          <w:numId w:val="2"/>
        </w:numPr>
        <w:spacing w:before="4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  <w:noProof/>
          <w:color w:val="000000"/>
        </w:rPr>
        <w:drawing>
          <wp:anchor distT="0" distB="0" distL="114300" distR="114300" simplePos="0" relativeHeight="251662336" behindDoc="0" locked="0" layoutInCell="1" allowOverlap="1" wp14:anchorId="439F20C0" wp14:editId="4AB8358C">
            <wp:simplePos x="0" y="0"/>
            <wp:positionH relativeFrom="margin">
              <wp:align>left</wp:align>
            </wp:positionH>
            <wp:positionV relativeFrom="paragraph">
              <wp:posOffset>268605</wp:posOffset>
            </wp:positionV>
            <wp:extent cx="1256400" cy="1256400"/>
            <wp:effectExtent l="0" t="0" r="1270" b="127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6400" cy="125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C728D" w:rsidRPr="00CA5091">
        <w:rPr>
          <w:rFonts w:ascii="Itim" w:hAnsi="Itim" w:cs="Itim"/>
        </w:rPr>
        <w:t>El proceso continúa hasta completar el tiempo o el folio.</w:t>
      </w:r>
    </w:p>
    <w:p w:rsidR="007B19C0" w:rsidRDefault="007B19C0" w:rsidP="00CA5091">
      <w:pPr>
        <w:spacing w:before="80" w:after="240" w:line="276" w:lineRule="auto"/>
        <w:jc w:val="both"/>
        <w:rPr>
          <w:rFonts w:ascii="Itim" w:hAnsi="Itim" w:cs="Itim"/>
          <w:color w:val="000000"/>
        </w:rPr>
      </w:pPr>
    </w:p>
    <w:p w:rsidR="00140569" w:rsidRDefault="00CC728D" w:rsidP="00CA5091">
      <w:pPr>
        <w:spacing w:before="80" w:after="240" w:line="276" w:lineRule="auto"/>
        <w:jc w:val="both"/>
        <w:rPr>
          <w:rFonts w:ascii="Itim" w:hAnsi="Itim" w:cs="Itim"/>
          <w:color w:val="000000"/>
        </w:rPr>
      </w:pPr>
      <w:r w:rsidRPr="00CA5091">
        <w:rPr>
          <w:rFonts w:ascii="Itim" w:hAnsi="Itim" w:cs="Itim"/>
          <w:color w:val="000000"/>
        </w:rPr>
        <w:t xml:space="preserve">Variante digital: se puede realizar con un documento compartido en Google </w:t>
      </w:r>
      <w:proofErr w:type="spellStart"/>
      <w:r w:rsidRPr="00CA5091">
        <w:rPr>
          <w:rFonts w:ascii="Itim" w:hAnsi="Itim" w:cs="Itim"/>
          <w:color w:val="000000"/>
        </w:rPr>
        <w:t>Docs</w:t>
      </w:r>
      <w:proofErr w:type="spellEnd"/>
      <w:r w:rsidRPr="00CA5091">
        <w:rPr>
          <w:rFonts w:ascii="Itim" w:hAnsi="Itim" w:cs="Itim"/>
          <w:color w:val="000000"/>
        </w:rPr>
        <w:t xml:space="preserve"> o con una pizarra colaborativa en </w:t>
      </w:r>
      <w:proofErr w:type="spellStart"/>
      <w:r w:rsidRPr="00CA5091">
        <w:rPr>
          <w:rFonts w:ascii="Itim" w:hAnsi="Itim" w:cs="Itim"/>
          <w:color w:val="000000"/>
        </w:rPr>
        <w:t>Padlet</w:t>
      </w:r>
      <w:proofErr w:type="spellEnd"/>
      <w:r w:rsidRPr="00CA5091">
        <w:rPr>
          <w:rFonts w:ascii="Itim" w:hAnsi="Itim" w:cs="Itim"/>
          <w:color w:val="000000"/>
        </w:rPr>
        <w:t xml:space="preserve"> o </w:t>
      </w:r>
      <w:proofErr w:type="spellStart"/>
      <w:r w:rsidRPr="00CA5091">
        <w:rPr>
          <w:rFonts w:ascii="Itim" w:hAnsi="Itim" w:cs="Itim"/>
          <w:color w:val="000000"/>
        </w:rPr>
        <w:t>Jamboard</w:t>
      </w:r>
      <w:proofErr w:type="spellEnd"/>
      <w:r w:rsidRPr="00CA5091">
        <w:rPr>
          <w:rFonts w:ascii="Itim" w:hAnsi="Itim" w:cs="Itim"/>
          <w:color w:val="000000"/>
        </w:rPr>
        <w:t>.</w:t>
      </w:r>
    </w:p>
    <w:p w:rsidR="00CA5091" w:rsidRPr="00CA5091" w:rsidRDefault="00CA5091" w:rsidP="00CA5091">
      <w:pPr>
        <w:spacing w:before="80" w:after="240" w:line="276" w:lineRule="auto"/>
        <w:jc w:val="both"/>
        <w:rPr>
          <w:rFonts w:ascii="Itim" w:hAnsi="Itim" w:cs="Itim"/>
        </w:rPr>
      </w:pPr>
    </w:p>
    <w:p w:rsidR="00140569" w:rsidRPr="00CA5091" w:rsidRDefault="00140569" w:rsidP="00CA5091">
      <w:pPr>
        <w:spacing w:before="60" w:after="240" w:line="276" w:lineRule="auto"/>
        <w:rPr>
          <w:rFonts w:ascii="Itim" w:hAnsi="Itim" w:cs="Itim"/>
        </w:rPr>
      </w:pPr>
    </w:p>
    <w:p w:rsidR="00CA5091" w:rsidRDefault="00CA5091">
      <w:pPr>
        <w:rPr>
          <w:rFonts w:ascii="Itim" w:hAnsi="Itim" w:cs="Itim"/>
          <w:b/>
          <w:bCs/>
          <w:color w:val="2E86C1"/>
          <w:sz w:val="26"/>
          <w:szCs w:val="26"/>
        </w:rPr>
      </w:pPr>
      <w:r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3.4. Grupos de investigación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Técnica de aprendizaje cooperativo propuesta por </w:t>
      </w:r>
      <w:proofErr w:type="spellStart"/>
      <w:r w:rsidRPr="00CA5091">
        <w:rPr>
          <w:rFonts w:ascii="Itim" w:hAnsi="Itim" w:cs="Itim"/>
          <w:color w:val="000000"/>
        </w:rPr>
        <w:t>Sharan</w:t>
      </w:r>
      <w:proofErr w:type="spellEnd"/>
      <w:r w:rsidRPr="00CA5091">
        <w:rPr>
          <w:rFonts w:ascii="Itim" w:hAnsi="Itim" w:cs="Itim"/>
          <w:color w:val="000000"/>
        </w:rPr>
        <w:t xml:space="preserve"> y </w:t>
      </w:r>
      <w:proofErr w:type="spellStart"/>
      <w:r w:rsidRPr="00CA5091">
        <w:rPr>
          <w:rFonts w:ascii="Itim" w:hAnsi="Itim" w:cs="Itim"/>
          <w:color w:val="000000"/>
        </w:rPr>
        <w:t>Sharan</w:t>
      </w:r>
      <w:proofErr w:type="spellEnd"/>
      <w:r w:rsidRPr="00CA5091">
        <w:rPr>
          <w:rFonts w:ascii="Itim" w:hAnsi="Itim" w:cs="Itim"/>
          <w:color w:val="000000"/>
        </w:rPr>
        <w:t xml:space="preserve"> (1992) en la que los grupos se forman en función del interés por un subtema y trabajan de forma autónoma para investigar y presentar sus resultados.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000"/>
        <w:gridCol w:w="3026"/>
      </w:tblGrid>
      <w:tr w:rsidR="00140569" w:rsidRPr="00CA5091" w:rsidTr="00CA5091">
        <w:trPr>
          <w:trHeight w:hRule="exact" w:val="461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Fase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Descripción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Duración orientativa</w:t>
            </w:r>
          </w:p>
        </w:tc>
      </w:tr>
      <w:tr w:rsidR="00140569" w:rsidRPr="00CA5091" w:rsidTr="00CA5091">
        <w:trPr>
          <w:trHeight w:hRule="exact" w:val="908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1. Elección del tema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El docente presenta subtemas; los estudiantes eligen según interés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 sesión</w:t>
            </w:r>
          </w:p>
        </w:tc>
      </w:tr>
      <w:tr w:rsidR="00140569" w:rsidRPr="00CA5091" w:rsidTr="00CA5091">
        <w:trPr>
          <w:trHeight w:hRule="exact" w:val="922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2. Planificación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Cada grupo planifica qué investigar, cómo y con qué recursos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 sesión</w:t>
            </w:r>
          </w:p>
        </w:tc>
      </w:tr>
      <w:tr w:rsidR="00140569" w:rsidRPr="00CA5091" w:rsidTr="00CA5091">
        <w:trPr>
          <w:trHeight w:hRule="exact" w:val="611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3. Investigación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Trabajo autónomo con tutorías del docente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Variable (1-3 semanas)</w:t>
            </w:r>
          </w:p>
        </w:tc>
      </w:tr>
      <w:tr w:rsidR="00140569" w:rsidRPr="00CA5091" w:rsidTr="00CA5091">
        <w:trPr>
          <w:trHeight w:hRule="exact" w:val="635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4. Preparación presentación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Síntesis y preparación del formato de presentación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 sesión</w:t>
            </w:r>
          </w:p>
        </w:tc>
      </w:tr>
      <w:tr w:rsidR="00140569" w:rsidRPr="00CA5091" w:rsidTr="00CA5091">
        <w:trPr>
          <w:trHeight w:hRule="exact" w:val="631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5. Presentación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Exposición al resto de la clase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1-2 sesiones</w:t>
            </w:r>
          </w:p>
        </w:tc>
      </w:tr>
      <w:tr w:rsidR="00140569" w:rsidRPr="00CA5091" w:rsidTr="00CA5091">
        <w:trPr>
          <w:trHeight w:hRule="exact" w:val="626"/>
        </w:trPr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6. Evaluación</w:t>
            </w:r>
          </w:p>
        </w:tc>
        <w:tc>
          <w:tcPr>
            <w:tcW w:w="3000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Co-evaluación y evaluación docente</w:t>
            </w:r>
          </w:p>
        </w:tc>
        <w:tc>
          <w:tcPr>
            <w:tcW w:w="302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Continua</w:t>
            </w:r>
          </w:p>
        </w:tc>
      </w:tr>
    </w:tbl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3.5. Tutoría entre iguales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El aprendizaje entre pares (peer </w:t>
      </w:r>
      <w:proofErr w:type="spellStart"/>
      <w:r w:rsidRPr="00CA5091">
        <w:rPr>
          <w:rFonts w:ascii="Itim" w:hAnsi="Itim" w:cs="Itim"/>
          <w:color w:val="000000"/>
        </w:rPr>
        <w:t>learning</w:t>
      </w:r>
      <w:proofErr w:type="spellEnd"/>
      <w:r w:rsidRPr="00CA5091">
        <w:rPr>
          <w:rFonts w:ascii="Itim" w:hAnsi="Itim" w:cs="Itim"/>
          <w:color w:val="000000"/>
        </w:rPr>
        <w:t>) es una de las estrategias más eficaces para consolidar conocimientos, tanto para quien enseña como para quien aprende (</w:t>
      </w:r>
      <w:proofErr w:type="spellStart"/>
      <w:r w:rsidRPr="00CA5091">
        <w:rPr>
          <w:rFonts w:ascii="Itim" w:hAnsi="Itim" w:cs="Itim"/>
          <w:color w:val="000000"/>
        </w:rPr>
        <w:t>Topping</w:t>
      </w:r>
      <w:proofErr w:type="spellEnd"/>
      <w:r w:rsidRPr="00CA5091">
        <w:rPr>
          <w:rFonts w:ascii="Itim" w:hAnsi="Itim" w:cs="Itim"/>
          <w:color w:val="000000"/>
        </w:rPr>
        <w:t>, 2005). En el contexto universitario puede adoptar distintas formas: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Tutoría recíproca: dos estudiantes alternan los roles de tutor y tutorado.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Tutoría unidireccional: un estudiante con mayor dominio apoya a otro con más dificultades.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Seminarios de estudiantes: estudiantes de cursos superiores imparten sesiones a estudiantes de cursos inferiores.</w:t>
      </w:r>
    </w:p>
    <w:p w:rsidR="00140569" w:rsidRPr="00CA5091" w:rsidRDefault="00140569" w:rsidP="00CA5091">
      <w:pPr>
        <w:spacing w:before="8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4. Dinámicas de cierre y reflexión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Las dinámicas de cierre tienen un valor pedagógico frecuentemente subestimado. Un buen cierre de sesión permite consolidar el aprendizaje, detectar dudas, generar </w:t>
      </w:r>
      <w:proofErr w:type="spellStart"/>
      <w:r w:rsidRPr="00CA5091">
        <w:rPr>
          <w:rFonts w:ascii="Itim" w:hAnsi="Itim" w:cs="Itim"/>
          <w:color w:val="000000"/>
        </w:rPr>
        <w:t>metacognición</w:t>
      </w:r>
      <w:proofErr w:type="spellEnd"/>
      <w:r w:rsidRPr="00CA5091">
        <w:rPr>
          <w:rFonts w:ascii="Itim" w:hAnsi="Itim" w:cs="Itim"/>
          <w:color w:val="000000"/>
        </w:rPr>
        <w:t xml:space="preserve"> y conectar lo aprendido con experiencias previas o futuras (</w:t>
      </w:r>
      <w:proofErr w:type="spellStart"/>
      <w:r w:rsidRPr="00CA5091">
        <w:rPr>
          <w:rFonts w:ascii="Itim" w:hAnsi="Itim" w:cs="Itim"/>
          <w:color w:val="000000"/>
        </w:rPr>
        <w:t>Hattie</w:t>
      </w:r>
      <w:proofErr w:type="spellEnd"/>
      <w:r w:rsidRPr="00CA5091">
        <w:rPr>
          <w:rFonts w:ascii="Itim" w:hAnsi="Itim" w:cs="Itim"/>
          <w:color w:val="000000"/>
        </w:rPr>
        <w:t xml:space="preserve">, 2009). A </w:t>
      </w:r>
      <w:proofErr w:type="gramStart"/>
      <w:r w:rsidRPr="00CA5091">
        <w:rPr>
          <w:rFonts w:ascii="Itim" w:hAnsi="Itim" w:cs="Itim"/>
          <w:color w:val="000000"/>
        </w:rPr>
        <w:t>continuación</w:t>
      </w:r>
      <w:proofErr w:type="gramEnd"/>
      <w:r w:rsidRPr="00CA5091">
        <w:rPr>
          <w:rFonts w:ascii="Itim" w:hAnsi="Itim" w:cs="Itim"/>
          <w:color w:val="000000"/>
        </w:rPr>
        <w:t xml:space="preserve"> se presentan varias técnicas de alto impacto y fácil implementación.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4.1. El ticket de salida (</w:t>
      </w:r>
      <w:proofErr w:type="spellStart"/>
      <w:r w:rsidRPr="00CA5091">
        <w:rPr>
          <w:rFonts w:ascii="Itim" w:hAnsi="Itim" w:cs="Itim"/>
        </w:rPr>
        <w:t>Exit</w:t>
      </w:r>
      <w:proofErr w:type="spellEnd"/>
      <w:r w:rsidRPr="00CA5091">
        <w:rPr>
          <w:rFonts w:ascii="Itim" w:hAnsi="Itim" w:cs="Itim"/>
        </w:rPr>
        <w:t xml:space="preserve"> Ticket)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Técnica de evaluación formativa rápida en la que, antes de salir del aula, cada estudiante responde a una o dos preguntas breves sobre la sesión.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67E22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 xml:space="preserve">Tipos de preguntas para el </w:t>
            </w:r>
            <w:proofErr w:type="spellStart"/>
            <w:r w:rsidRPr="00CA5091">
              <w:rPr>
                <w:rFonts w:ascii="Itim" w:hAnsi="Itim" w:cs="Itim"/>
                <w:b/>
                <w:bCs/>
                <w:color w:val="FFFFFF"/>
              </w:rPr>
              <w:t>Exit</w:t>
            </w:r>
            <w:proofErr w:type="spellEnd"/>
            <w:r w:rsidRPr="00CA5091">
              <w:rPr>
                <w:rFonts w:ascii="Itim" w:hAnsi="Itim" w:cs="Itim"/>
                <w:b/>
                <w:bCs/>
                <w:color w:val="FFFFFF"/>
              </w:rPr>
              <w:t xml:space="preserve"> Ticket</w:t>
            </w:r>
          </w:p>
        </w:tc>
      </w:tr>
      <w:tr w:rsidR="00140569" w:rsidRPr="004A5DBA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DEBD0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Una cosa que he aprendido hoy y que no sabía antes.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Una duda que me queda sobre el tema.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¿Cómo aplicaría lo aprendido a una situación real?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Explica el concepto más importante de hoy con tus propias palabras.</w:t>
            </w:r>
          </w:p>
          <w:p w:rsidR="00140569" w:rsidRPr="00CA5091" w:rsidRDefault="00CC728D" w:rsidP="00CA5091">
            <w:pPr>
              <w:pStyle w:val="Prrafodelista"/>
              <w:numPr>
                <w:ilvl w:val="0"/>
                <w:numId w:val="3"/>
              </w:numPr>
              <w:spacing w:before="4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Puntúa del 1 al 5 tu comprensión de la sesión y justifica.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  <w:lang w:val="en-US"/>
              </w:rPr>
            </w:pPr>
            <w:proofErr w:type="spellStart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>Formatos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 xml:space="preserve">: 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>papel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 xml:space="preserve"> (post-its), 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>Mentimeter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>Wooclap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  <w:lang w:val="en-US"/>
              </w:rPr>
              <w:t>, Google Forms.</w:t>
            </w:r>
          </w:p>
        </w:tc>
      </w:tr>
    </w:tbl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La información recogida en el </w:t>
      </w:r>
      <w:proofErr w:type="spellStart"/>
      <w:r w:rsidRPr="00CA5091">
        <w:rPr>
          <w:rFonts w:ascii="Itim" w:hAnsi="Itim" w:cs="Itim"/>
          <w:color w:val="000000"/>
        </w:rPr>
        <w:t>exit</w:t>
      </w:r>
      <w:proofErr w:type="spellEnd"/>
      <w:r w:rsidRPr="00CA5091">
        <w:rPr>
          <w:rFonts w:ascii="Itim" w:hAnsi="Itim" w:cs="Itim"/>
          <w:color w:val="000000"/>
        </w:rPr>
        <w:t xml:space="preserve"> ticket permite al docente ajustar la planificación de las sesiones siguientes en función de los niveles reales de comprensión del grupo.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4.2. Los tres sombreros</w:t>
      </w:r>
    </w:p>
    <w:p w:rsidR="00140569" w:rsidRPr="00CA5091" w:rsidRDefault="00CC728D" w:rsidP="00CA5091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Adaptación simplificada de la técnica de los Seis Sombreros de Edward de Bono (1985), orientada al cierre reflexivo de una sesión o actividad.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3A17B3" w:rsidRPr="00CA5091" w:rsidTr="003A17B3">
        <w:trPr>
          <w:trHeight w:hRule="exact" w:val="429"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Sombrero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Pregunta de reflexión</w:t>
            </w:r>
          </w:p>
        </w:tc>
      </w:tr>
      <w:tr w:rsidR="003A17B3" w:rsidRPr="00CA5091" w:rsidTr="003A17B3">
        <w:trPr>
          <w:trHeight w:hRule="exact" w:val="634"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3A17B3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3A17B3">
              <w:rPr>
                <w:rFonts w:ascii="Itim" w:hAnsi="Itim" w:cs="Itim"/>
                <w:noProof/>
                <w:sz w:val="21"/>
                <w:szCs w:val="21"/>
              </w:rP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-547370</wp:posOffset>
                  </wp:positionH>
                  <wp:positionV relativeFrom="paragraph">
                    <wp:posOffset>-276225</wp:posOffset>
                  </wp:positionV>
                  <wp:extent cx="434340" cy="351155"/>
                  <wp:effectExtent l="0" t="0" r="3810" b="0"/>
                  <wp:wrapTight wrapText="bothSides">
                    <wp:wrapPolygon edited="0">
                      <wp:start x="0" y="0"/>
                      <wp:lineTo x="0" y="19920"/>
                      <wp:lineTo x="20842" y="19920"/>
                      <wp:lineTo x="20842" y="0"/>
                      <wp:lineTo x="0" y="0"/>
                    </wp:wrapPolygon>
                  </wp:wrapTight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34340" cy="351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728D" w:rsidRPr="00CA5091">
              <w:rPr>
                <w:rFonts w:ascii="Itim" w:hAnsi="Itim" w:cs="Itim"/>
                <w:sz w:val="21"/>
                <w:szCs w:val="21"/>
              </w:rPr>
              <w:t xml:space="preserve"> Amarillo (positivo)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¿Qué ha funcionado bien? ¿Qué has aprendido de valor?</w:t>
            </w:r>
          </w:p>
        </w:tc>
      </w:tr>
      <w:tr w:rsidR="003A17B3" w:rsidRPr="00CA5091" w:rsidTr="003A17B3">
        <w:trPr>
          <w:trHeight w:hRule="exact" w:val="900"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3A17B3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3A17B3">
              <w:rPr>
                <w:rFonts w:ascii="Itim" w:hAnsi="Itim" w:cs="Itim"/>
                <w:noProof/>
                <w:sz w:val="21"/>
                <w:szCs w:val="21"/>
              </w:rPr>
              <w:drawing>
                <wp:anchor distT="0" distB="0" distL="114300" distR="114300" simplePos="0" relativeHeight="251664384" behindDoc="1" locked="0" layoutInCell="1" allowOverlap="1">
                  <wp:simplePos x="0" y="0"/>
                  <wp:positionH relativeFrom="column">
                    <wp:posOffset>-539750</wp:posOffset>
                  </wp:positionH>
                  <wp:positionV relativeFrom="paragraph">
                    <wp:posOffset>-241935</wp:posOffset>
                  </wp:positionV>
                  <wp:extent cx="485775" cy="405765"/>
                  <wp:effectExtent l="0" t="0" r="9525" b="0"/>
                  <wp:wrapTight wrapText="bothSides">
                    <wp:wrapPolygon edited="0">
                      <wp:start x="3388" y="1014"/>
                      <wp:lineTo x="1694" y="18254"/>
                      <wp:lineTo x="4235" y="20282"/>
                      <wp:lineTo x="18635" y="20282"/>
                      <wp:lineTo x="21176" y="17239"/>
                      <wp:lineTo x="19482" y="1014"/>
                      <wp:lineTo x="3388" y="1014"/>
                    </wp:wrapPolygon>
                  </wp:wrapTight>
                  <wp:docPr id="5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ackgroundRemoval t="10000" b="90000" l="10000" r="9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485775" cy="4057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728D" w:rsidRPr="00CA5091">
              <w:rPr>
                <w:rFonts w:ascii="Itim" w:hAnsi="Itim" w:cs="Itim"/>
                <w:sz w:val="21"/>
                <w:szCs w:val="21"/>
              </w:rPr>
              <w:t>Negro (crítico)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¿Qué ha sido difícil? ¿Qué mejorarías?</w:t>
            </w:r>
          </w:p>
        </w:tc>
      </w:tr>
      <w:tr w:rsidR="003A17B3" w:rsidRPr="00CA5091" w:rsidTr="003A17B3">
        <w:trPr>
          <w:trHeight w:hRule="exact" w:val="772"/>
        </w:trPr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3A17B3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3A17B3">
              <w:rPr>
                <w:rFonts w:ascii="Itim" w:hAnsi="Itim" w:cs="Itim"/>
                <w:noProof/>
                <w:sz w:val="21"/>
                <w:szCs w:val="21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-436880</wp:posOffset>
                  </wp:positionH>
                  <wp:positionV relativeFrom="paragraph">
                    <wp:posOffset>-234950</wp:posOffset>
                  </wp:positionV>
                  <wp:extent cx="462280" cy="410210"/>
                  <wp:effectExtent l="0" t="0" r="0" b="8890"/>
                  <wp:wrapTight wrapText="bothSides">
                    <wp:wrapPolygon edited="0">
                      <wp:start x="0" y="0"/>
                      <wp:lineTo x="0" y="21065"/>
                      <wp:lineTo x="20473" y="21065"/>
                      <wp:lineTo x="20473" y="0"/>
                      <wp:lineTo x="0" y="0"/>
                    </wp:wrapPolygon>
                  </wp:wrapTight>
                  <wp:docPr id="6" name="Imagen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3" r="6690"/>
                          <a:stretch/>
                        </pic:blipFill>
                        <pic:spPr bwMode="auto">
                          <a:xfrm>
                            <a:off x="0" y="0"/>
                            <a:ext cx="462280" cy="4102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C728D" w:rsidRPr="00CA5091">
              <w:rPr>
                <w:rFonts w:ascii="Itim" w:hAnsi="Itim" w:cs="Itim"/>
                <w:sz w:val="21"/>
                <w:szCs w:val="21"/>
              </w:rPr>
              <w:t xml:space="preserve"> Verde (creativo)</w:t>
            </w:r>
          </w:p>
        </w:tc>
        <w:tc>
          <w:tcPr>
            <w:tcW w:w="4513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140569" w:rsidRPr="00CA5091" w:rsidRDefault="00CC728D" w:rsidP="003A17B3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¿Qué nuevas ideas o aplicaciones se te ocurren a partir de esto?</w:t>
            </w:r>
          </w:p>
        </w:tc>
      </w:tr>
    </w:tbl>
    <w:p w:rsidR="00140569" w:rsidRPr="00CA5091" w:rsidRDefault="00140569" w:rsidP="00CA5091">
      <w:pPr>
        <w:spacing w:before="60" w:after="240" w:line="276" w:lineRule="auto"/>
        <w:rPr>
          <w:rFonts w:ascii="Itim" w:hAnsi="Itim" w:cs="Itim"/>
        </w:rPr>
      </w:pP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4.3. La pirámide de aprendizaje</w:t>
      </w:r>
    </w:p>
    <w:p w:rsidR="00140569" w:rsidRPr="00CA5091" w:rsidRDefault="00CC728D" w:rsidP="003A17B3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Dinámica de síntesis grupal en la que los estudiantes construyen de forma cooperativa una jerarquía de los conceptos más importantes de la sesión o del tema.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Individualmente: cada estudiante escribe en post-</w:t>
      </w:r>
      <w:proofErr w:type="spellStart"/>
      <w:r w:rsidRPr="00CA5091">
        <w:rPr>
          <w:rFonts w:ascii="Itim" w:hAnsi="Itim" w:cs="Itim"/>
        </w:rPr>
        <w:t>its</w:t>
      </w:r>
      <w:proofErr w:type="spellEnd"/>
      <w:r w:rsidRPr="00CA5091">
        <w:rPr>
          <w:rFonts w:ascii="Itim" w:hAnsi="Itim" w:cs="Itim"/>
        </w:rPr>
        <w:t xml:space="preserve"> los 5 conceptos clave de la sesión (1 por post-</w:t>
      </w:r>
      <w:proofErr w:type="spellStart"/>
      <w:r w:rsidRPr="00CA5091">
        <w:rPr>
          <w:rFonts w:ascii="Itim" w:hAnsi="Itim" w:cs="Itim"/>
        </w:rPr>
        <w:t>it</w:t>
      </w:r>
      <w:proofErr w:type="spellEnd"/>
      <w:r w:rsidRPr="00CA5091">
        <w:rPr>
          <w:rFonts w:ascii="Itim" w:hAnsi="Itim" w:cs="Itim"/>
        </w:rPr>
        <w:t>).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En pareja: comparan sus listas y acuerdan los 3 más importantes.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En cuartetos: los dos pares se unen y acuerdan los 2 conceptos más esenciales.</w:t>
      </w:r>
    </w:p>
    <w:p w:rsidR="00140569" w:rsidRPr="003A17B3" w:rsidRDefault="00CC728D" w:rsidP="00F20EA3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3A17B3">
        <w:rPr>
          <w:rFonts w:ascii="Itim" w:hAnsi="Itim" w:cs="Itim"/>
        </w:rPr>
        <w:t>En plenario: cada grupo comparte su top-2 y el docente construye la pirámide colectiva en la pizarra.</w:t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4.4. La carta a mi yo futuro</w:t>
      </w:r>
    </w:p>
    <w:p w:rsidR="00140569" w:rsidRPr="00CA5091" w:rsidRDefault="00CC728D" w:rsidP="003A17B3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 xml:space="preserve">Técnica de cierre de unidad o de curso de alto valor </w:t>
      </w:r>
      <w:proofErr w:type="spellStart"/>
      <w:r w:rsidRPr="00CA5091">
        <w:rPr>
          <w:rFonts w:ascii="Itim" w:hAnsi="Itim" w:cs="Itim"/>
          <w:color w:val="000000"/>
        </w:rPr>
        <w:t>metacognitivo</w:t>
      </w:r>
      <w:proofErr w:type="spellEnd"/>
      <w:r w:rsidRPr="00CA5091">
        <w:rPr>
          <w:rFonts w:ascii="Itim" w:hAnsi="Itim" w:cs="Itim"/>
          <w:color w:val="000000"/>
        </w:rPr>
        <w:t xml:space="preserve"> y emocional. Especialmente útil al finalizar un módulo importante o al cierre del semestre.</w:t>
      </w:r>
    </w:p>
    <w:p w:rsidR="00140569" w:rsidRPr="00CA5091" w:rsidRDefault="00CC728D" w:rsidP="003A17B3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Cada estudiante escribe una carta dirigida a «su yo futuro» (en 6 meses, en 1 año, o al terminar el grado) en la que recoge: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Lo más valioso que ha aprendido en esta materia.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Los retos que ha superado y cómo lo ha hecho.</w:t>
      </w:r>
    </w:p>
    <w:p w:rsidR="00140569" w:rsidRPr="00CA5091" w:rsidRDefault="00CC728D" w:rsidP="00CA5091">
      <w:pPr>
        <w:pStyle w:val="Prrafodelista"/>
        <w:numPr>
          <w:ilvl w:val="0"/>
          <w:numId w:val="2"/>
        </w:numPr>
        <w:spacing w:before="60"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Compromisos o intenciones de aplicación de lo aprendido.</w:t>
      </w:r>
    </w:p>
    <w:p w:rsidR="00140569" w:rsidRPr="003A17B3" w:rsidRDefault="00CC728D" w:rsidP="00811E30">
      <w:pPr>
        <w:pStyle w:val="Prrafodelista"/>
        <w:numPr>
          <w:ilvl w:val="0"/>
          <w:numId w:val="2"/>
        </w:numPr>
        <w:spacing w:before="40" w:after="240" w:line="276" w:lineRule="auto"/>
        <w:rPr>
          <w:rFonts w:ascii="Itim" w:hAnsi="Itim" w:cs="Itim"/>
        </w:rPr>
      </w:pPr>
      <w:r w:rsidRPr="003A17B3">
        <w:rPr>
          <w:rFonts w:ascii="Itim" w:hAnsi="Itim" w:cs="Itim"/>
        </w:rPr>
        <w:t>Preguntas que quiere seguir explorando.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6"/>
      </w:tblGrid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E86C1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140569" w:rsidRPr="00CA5091" w:rsidRDefault="00CC728D" w:rsidP="00CA5091">
            <w:pPr>
              <w:spacing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Consejo de implementación</w:t>
            </w:r>
          </w:p>
        </w:tc>
      </w:tr>
      <w:tr w:rsidR="00140569" w:rsidRPr="00CA5091"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D6EAF8"/>
            <w:tcMar>
              <w:top w:w="120" w:type="dxa"/>
              <w:left w:w="160" w:type="dxa"/>
              <w:bottom w:w="120" w:type="dxa"/>
              <w:right w:w="160" w:type="dxa"/>
            </w:tcMar>
          </w:tcPr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Las cartas pueden guardarse en un sobre cerrado y entregarse al final del curso para que los estudiantes las lean y reflexionen sobre su evolución.</w:t>
            </w:r>
          </w:p>
          <w:p w:rsidR="00140569" w:rsidRPr="00CA5091" w:rsidRDefault="00CC728D" w:rsidP="00CA5091">
            <w:pPr>
              <w:spacing w:before="60" w:after="240" w:line="276" w:lineRule="auto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Esta técnica conecta con el aprendizaje experiencial (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</w:rPr>
              <w:t>Kolb</w:t>
            </w:r>
            <w:proofErr w:type="spellEnd"/>
            <w:r w:rsidRPr="00CA5091">
              <w:rPr>
                <w:rFonts w:ascii="Itim" w:hAnsi="Itim" w:cs="Itim"/>
                <w:sz w:val="21"/>
                <w:szCs w:val="21"/>
              </w:rPr>
              <w:t>, 1984) y promueve la identidad profesional docente en estudiantes de grados de educación.</w:t>
            </w:r>
          </w:p>
        </w:tc>
      </w:tr>
    </w:tbl>
    <w:p w:rsidR="00140569" w:rsidRDefault="00140569" w:rsidP="00CA5091">
      <w:pPr>
        <w:spacing w:before="60" w:after="240" w:line="276" w:lineRule="auto"/>
        <w:rPr>
          <w:rFonts w:ascii="Itim" w:hAnsi="Itim" w:cs="Itim"/>
        </w:rPr>
      </w:pPr>
    </w:p>
    <w:p w:rsidR="003A17B3" w:rsidRDefault="003A17B3">
      <w:pPr>
        <w:rPr>
          <w:rFonts w:ascii="Itim" w:hAnsi="Itim" w:cs="Itim"/>
        </w:rPr>
      </w:pPr>
      <w:r>
        <w:rPr>
          <w:rFonts w:ascii="Itim" w:hAnsi="Itim" w:cs="Itim"/>
        </w:rPr>
        <w:br w:type="page"/>
      </w:r>
    </w:p>
    <w:p w:rsidR="00140569" w:rsidRPr="00CA5091" w:rsidRDefault="00CC728D" w:rsidP="00CA5091">
      <w:pPr>
        <w:pStyle w:val="Ttulo2"/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4.5. Semáforo de aprendizaje</w:t>
      </w:r>
    </w:p>
    <w:p w:rsidR="00140569" w:rsidRPr="00CA5091" w:rsidRDefault="00CC728D" w:rsidP="003A17B3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Sistema visual y rápido de autoevaluación del aprendizaje al final de cada sesión. Fácil de implementar tanto de forma analógica como digital.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6"/>
        <w:gridCol w:w="1845"/>
        <w:gridCol w:w="2834"/>
        <w:gridCol w:w="2929"/>
      </w:tblGrid>
      <w:tr w:rsidR="003A17B3" w:rsidRPr="00CA5091" w:rsidTr="003A17B3">
        <w:trPr>
          <w:trHeight w:hRule="exact" w:val="613"/>
        </w:trPr>
        <w:tc>
          <w:tcPr>
            <w:tcW w:w="785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  <w:b/>
                <w:bCs/>
                <w:color w:val="FFFFFF"/>
              </w:rPr>
            </w:pPr>
          </w:p>
        </w:tc>
        <w:tc>
          <w:tcPr>
            <w:tcW w:w="1022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Color</w:t>
            </w:r>
          </w:p>
        </w:tc>
        <w:tc>
          <w:tcPr>
            <w:tcW w:w="1570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Significado</w:t>
            </w:r>
          </w:p>
        </w:tc>
        <w:tc>
          <w:tcPr>
            <w:tcW w:w="1623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</w:rPr>
              <w:t>Cómo recogerlo</w:t>
            </w:r>
          </w:p>
        </w:tc>
      </w:tr>
      <w:tr w:rsidR="003A17B3" w:rsidRPr="00CA5091" w:rsidTr="001C0821">
        <w:trPr>
          <w:trHeight w:hRule="exact" w:val="765"/>
        </w:trPr>
        <w:tc>
          <w:tcPr>
            <w:tcW w:w="785" w:type="pct"/>
            <w:vMerge w:val="restart"/>
            <w:tcBorders>
              <w:top w:val="single" w:sz="1" w:space="0" w:color="CCCCCC"/>
              <w:left w:val="single" w:sz="1" w:space="0" w:color="CCCCCC"/>
              <w:right w:val="single" w:sz="1" w:space="0" w:color="CCCCCC"/>
            </w:tcBorders>
            <w:shd w:val="clear" w:color="auto" w:fill="FFFFFF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  <w:sz w:val="21"/>
                <w:szCs w:val="21"/>
              </w:rPr>
            </w:pPr>
            <w:r w:rsidRPr="003A17B3">
              <w:rPr>
                <w:rFonts w:ascii="Itim" w:hAnsi="Itim" w:cs="Itim"/>
                <w:noProof/>
                <w:sz w:val="21"/>
                <w:szCs w:val="21"/>
              </w:rPr>
              <w:drawing>
                <wp:anchor distT="0" distB="0" distL="114300" distR="114300" simplePos="0" relativeHeight="251666432" behindDoc="1" locked="0" layoutInCell="1" allowOverlap="1" wp14:anchorId="789CEFD7" wp14:editId="37AA00BE">
                  <wp:simplePos x="0" y="0"/>
                  <wp:positionH relativeFrom="page">
                    <wp:posOffset>128270</wp:posOffset>
                  </wp:positionH>
                  <wp:positionV relativeFrom="paragraph">
                    <wp:posOffset>0</wp:posOffset>
                  </wp:positionV>
                  <wp:extent cx="570230" cy="1425575"/>
                  <wp:effectExtent l="0" t="0" r="1270" b="3175"/>
                  <wp:wrapTight wrapText="bothSides">
                    <wp:wrapPolygon edited="0">
                      <wp:start x="0" y="0"/>
                      <wp:lineTo x="0" y="21359"/>
                      <wp:lineTo x="20927" y="21359"/>
                      <wp:lineTo x="20927" y="0"/>
                      <wp:lineTo x="0" y="0"/>
                    </wp:wrapPolygon>
                  </wp:wrapTight>
                  <wp:docPr id="7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570230" cy="1425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022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Rojo</w:t>
            </w:r>
          </w:p>
        </w:tc>
        <w:tc>
          <w:tcPr>
            <w:tcW w:w="1570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No lo he entendido, necesito más ayuda</w:t>
            </w:r>
          </w:p>
        </w:tc>
        <w:tc>
          <w:tcPr>
            <w:tcW w:w="1623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Tarjeta de color / anónimo</w:t>
            </w:r>
          </w:p>
        </w:tc>
      </w:tr>
      <w:tr w:rsidR="003A17B3" w:rsidRPr="00CA5091" w:rsidTr="001C0821">
        <w:trPr>
          <w:trHeight w:hRule="exact" w:val="634"/>
        </w:trPr>
        <w:tc>
          <w:tcPr>
            <w:tcW w:w="785" w:type="pct"/>
            <w:vMerge/>
            <w:tcBorders>
              <w:left w:val="single" w:sz="1" w:space="0" w:color="CCCCCC"/>
              <w:right w:val="single" w:sz="1" w:space="0" w:color="CCCCCC"/>
            </w:tcBorders>
            <w:shd w:val="clear" w:color="auto" w:fill="FFFFFF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  <w:sz w:val="21"/>
                <w:szCs w:val="21"/>
              </w:rPr>
            </w:pPr>
          </w:p>
        </w:tc>
        <w:tc>
          <w:tcPr>
            <w:tcW w:w="1022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Amarillo</w:t>
            </w:r>
          </w:p>
        </w:tc>
        <w:tc>
          <w:tcPr>
            <w:tcW w:w="1570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Lo he entendido en parte, aún tengo dudas</w:t>
            </w:r>
          </w:p>
        </w:tc>
        <w:tc>
          <w:tcPr>
            <w:tcW w:w="1623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 xml:space="preserve">Tarjeta de color / 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</w:rPr>
              <w:t>Mentimeter</w:t>
            </w:r>
            <w:proofErr w:type="spellEnd"/>
          </w:p>
        </w:tc>
      </w:tr>
      <w:tr w:rsidR="003A17B3" w:rsidRPr="00CA5091" w:rsidTr="001C0821">
        <w:trPr>
          <w:trHeight w:hRule="exact" w:val="773"/>
        </w:trPr>
        <w:tc>
          <w:tcPr>
            <w:tcW w:w="785" w:type="pct"/>
            <w:vMerge/>
            <w:tcBorders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  <w:sz w:val="21"/>
                <w:szCs w:val="21"/>
              </w:rPr>
            </w:pPr>
          </w:p>
        </w:tc>
        <w:tc>
          <w:tcPr>
            <w:tcW w:w="1022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Verde</w:t>
            </w:r>
          </w:p>
        </w:tc>
        <w:tc>
          <w:tcPr>
            <w:tcW w:w="1570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>Lo he entendido bien, puedo explicárselo a alguien</w:t>
            </w:r>
          </w:p>
        </w:tc>
        <w:tc>
          <w:tcPr>
            <w:tcW w:w="1623" w:type="pct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3A17B3" w:rsidRPr="00CA5091" w:rsidRDefault="003A17B3" w:rsidP="003A17B3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21"/>
                <w:szCs w:val="21"/>
              </w:rPr>
              <w:t xml:space="preserve">Tarjeta de color / </w:t>
            </w:r>
            <w:proofErr w:type="spellStart"/>
            <w:r w:rsidRPr="00CA5091">
              <w:rPr>
                <w:rFonts w:ascii="Itim" w:hAnsi="Itim" w:cs="Itim"/>
                <w:sz w:val="21"/>
                <w:szCs w:val="21"/>
              </w:rPr>
              <w:t>sticker</w:t>
            </w:r>
            <w:proofErr w:type="spellEnd"/>
          </w:p>
        </w:tc>
      </w:tr>
    </w:tbl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t>5. ¿Cuándo usar cada dinámica? Guía de selección rápida</w:t>
      </w:r>
    </w:p>
    <w:p w:rsidR="00140569" w:rsidRPr="00CA5091" w:rsidRDefault="00CC728D" w:rsidP="003A17B3">
      <w:pPr>
        <w:spacing w:before="80" w:after="240" w:line="276" w:lineRule="auto"/>
        <w:jc w:val="both"/>
        <w:rPr>
          <w:rFonts w:ascii="Itim" w:hAnsi="Itim" w:cs="Itim"/>
        </w:rPr>
      </w:pPr>
      <w:r w:rsidRPr="00CA5091">
        <w:rPr>
          <w:rFonts w:ascii="Itim" w:hAnsi="Itim" w:cs="Itim"/>
          <w:color w:val="000000"/>
        </w:rPr>
        <w:t>La siguiente tabla ofrece una guía orientativa para seleccionar la dinámica más adecuada en función del momento de la sesión, el objetivo pedagógico y el tamaño del grupo.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6"/>
        <w:gridCol w:w="2256"/>
        <w:gridCol w:w="590"/>
        <w:gridCol w:w="1667"/>
        <w:gridCol w:w="2257"/>
      </w:tblGrid>
      <w:tr w:rsidR="00140569" w:rsidRPr="00CA5091" w:rsidTr="004A5DBA">
        <w:trPr>
          <w:trHeight w:hRule="exact" w:val="473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  <w:sz w:val="20"/>
                <w:szCs w:val="20"/>
              </w:rPr>
              <w:t>Dinámica</w:t>
            </w:r>
          </w:p>
        </w:tc>
        <w:tc>
          <w:tcPr>
            <w:tcW w:w="2846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  <w:sz w:val="20"/>
                <w:szCs w:val="20"/>
              </w:rPr>
              <w:t>Momento</w:t>
            </w:r>
          </w:p>
        </w:tc>
        <w:tc>
          <w:tcPr>
            <w:tcW w:w="166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  <w:sz w:val="20"/>
                <w:szCs w:val="20"/>
              </w:rPr>
              <w:t>Objetivo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1A5276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b/>
                <w:bCs/>
                <w:color w:val="FFFFFF"/>
                <w:sz w:val="20"/>
                <w:szCs w:val="20"/>
              </w:rPr>
              <w:t>Grupo</w:t>
            </w:r>
          </w:p>
        </w:tc>
      </w:tr>
      <w:tr w:rsidR="00140569" w:rsidRPr="00CA5091" w:rsidTr="004A5DBA">
        <w:trPr>
          <w:trHeight w:hRule="exact" w:val="319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Telaraña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Inicio de curso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Cohesión grupal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Hasta 30</w:t>
            </w:r>
          </w:p>
        </w:tc>
      </w:tr>
      <w:tr w:rsidR="00140569" w:rsidRPr="00CA5091" w:rsidTr="004A5DBA">
        <w:trPr>
          <w:trHeight w:hRule="exact" w:val="353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Mapa de talentos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Inicio de proyecto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Conocer fortalezas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73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2 verdades 1 mentira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Inicio / repaso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Romper el hielo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65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Línea de valores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Inicio / cierre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Pensamiento crítico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57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19"/>
                <w:szCs w:val="19"/>
              </w:rPr>
              <w:t>Brainstorming</w:t>
            </w:r>
            <w:proofErr w:type="spellEnd"/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Inicio / 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Generar ideas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77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Técnica 1-2-4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Reflexión progresiva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Grupos grandes</w:t>
            </w:r>
          </w:p>
        </w:tc>
      </w:tr>
      <w:tr w:rsidR="00140569" w:rsidRPr="00CA5091" w:rsidTr="004A5DBA">
        <w:trPr>
          <w:trHeight w:hRule="exact" w:val="355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Debate Oxford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Argumentación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Desde 12</w:t>
            </w:r>
          </w:p>
        </w:tc>
      </w:tr>
      <w:tr w:rsidR="00140569" w:rsidRPr="00CA5091" w:rsidTr="004A5DBA">
        <w:trPr>
          <w:trHeight w:hRule="exact" w:val="375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19"/>
                <w:szCs w:val="19"/>
              </w:rPr>
              <w:t>Fishbowl</w:t>
            </w:r>
            <w:proofErr w:type="spellEnd"/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Escucha activa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Desde 10</w:t>
            </w:r>
          </w:p>
        </w:tc>
      </w:tr>
      <w:tr w:rsidR="00140569" w:rsidRPr="00CA5091" w:rsidTr="004A5DBA">
        <w:trPr>
          <w:trHeight w:hRule="exact" w:val="367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Phillips 66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Participación masiva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Grupos grandes</w:t>
            </w:r>
          </w:p>
        </w:tc>
      </w:tr>
      <w:tr w:rsidR="00140569" w:rsidRPr="00CA5091" w:rsidTr="004A5DBA">
        <w:trPr>
          <w:trHeight w:hRule="exact" w:val="359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19"/>
                <w:szCs w:val="19"/>
              </w:rPr>
              <w:t>Jigsaw</w:t>
            </w:r>
            <w:proofErr w:type="spellEnd"/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Contenido extenso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20-35</w:t>
            </w:r>
          </w:p>
        </w:tc>
      </w:tr>
      <w:tr w:rsidR="00140569" w:rsidRPr="00CA5091" w:rsidTr="004A5DBA">
        <w:trPr>
          <w:trHeight w:hRule="exact" w:val="649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Tutoría entre iguales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Desarrollo / consolidación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Refuerzo de contenidos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Flexible</w:t>
            </w:r>
          </w:p>
        </w:tc>
      </w:tr>
      <w:tr w:rsidR="00140569" w:rsidRPr="00CA5091" w:rsidTr="004A5DBA">
        <w:trPr>
          <w:trHeight w:hRule="exact" w:val="375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19"/>
                <w:szCs w:val="19"/>
              </w:rPr>
              <w:t>Exit</w:t>
            </w:r>
            <w:proofErr w:type="spellEnd"/>
            <w:r w:rsidRPr="00CA5091">
              <w:rPr>
                <w:rFonts w:ascii="Itim" w:hAnsi="Itim" w:cs="Itim"/>
                <w:sz w:val="19"/>
                <w:szCs w:val="19"/>
              </w:rPr>
              <w:t xml:space="preserve"> Ticket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Cierre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Evaluación formativa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67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Pirámide de aprendizaje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Cierre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Síntesis cooperativa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Hasta 30</w:t>
            </w:r>
          </w:p>
        </w:tc>
      </w:tr>
      <w:tr w:rsidR="00140569" w:rsidRPr="00CA5091" w:rsidTr="004A5DBA">
        <w:trPr>
          <w:trHeight w:hRule="exact" w:val="359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Semáforo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Cierre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Autoevaluación rápida</w:t>
            </w:r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0F8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Cualquiera</w:t>
            </w:r>
          </w:p>
        </w:tc>
      </w:tr>
      <w:tr w:rsidR="00140569" w:rsidRPr="00CA5091" w:rsidTr="004A5DBA">
        <w:trPr>
          <w:trHeight w:hRule="exact" w:val="346"/>
        </w:trPr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Carta a mi yo futuro</w:t>
            </w:r>
          </w:p>
        </w:tc>
        <w:tc>
          <w:tcPr>
            <w:tcW w:w="2256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Cierre de unidad/curso</w:t>
            </w:r>
          </w:p>
        </w:tc>
        <w:tc>
          <w:tcPr>
            <w:tcW w:w="2257" w:type="dxa"/>
            <w:gridSpan w:val="2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proofErr w:type="spellStart"/>
            <w:r w:rsidRPr="00CA5091">
              <w:rPr>
                <w:rFonts w:ascii="Itim" w:hAnsi="Itim" w:cs="Itim"/>
                <w:sz w:val="19"/>
                <w:szCs w:val="19"/>
              </w:rPr>
              <w:t>Metacognición</w:t>
            </w:r>
            <w:proofErr w:type="spellEnd"/>
          </w:p>
        </w:tc>
        <w:tc>
          <w:tcPr>
            <w:tcW w:w="2257" w:type="dxa"/>
            <w:tcBorders>
              <w:top w:val="single" w:sz="1" w:space="0" w:color="CCCCCC"/>
              <w:left w:val="single" w:sz="1" w:space="0" w:color="CCCCCC"/>
              <w:bottom w:val="single" w:sz="1" w:space="0" w:color="CCCCCC"/>
              <w:right w:val="single" w:sz="1" w:space="0" w:color="CCCCCC"/>
            </w:tcBorders>
            <w:shd w:val="clear" w:color="auto" w:fill="FFFFFF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140569" w:rsidRPr="00CA5091" w:rsidRDefault="00CC728D" w:rsidP="004A5DBA">
            <w:pPr>
              <w:spacing w:after="240" w:line="276" w:lineRule="auto"/>
              <w:jc w:val="center"/>
              <w:rPr>
                <w:rFonts w:ascii="Itim" w:hAnsi="Itim" w:cs="Itim"/>
              </w:rPr>
            </w:pPr>
            <w:r w:rsidRPr="00CA5091">
              <w:rPr>
                <w:rFonts w:ascii="Itim" w:hAnsi="Itim" w:cs="Itim"/>
                <w:sz w:val="19"/>
                <w:szCs w:val="19"/>
              </w:rPr>
              <w:t>Individual</w:t>
            </w:r>
          </w:p>
        </w:tc>
      </w:tr>
    </w:tbl>
    <w:p w:rsidR="00140569" w:rsidRPr="00CA5091" w:rsidRDefault="00CC728D" w:rsidP="00CA5091">
      <w:pPr>
        <w:pStyle w:val="Ttulo1"/>
        <w:pBdr>
          <w:bottom w:val="single" w:sz="8" w:space="4" w:color="2E86C1"/>
        </w:pBdr>
        <w:spacing w:after="240" w:line="276" w:lineRule="auto"/>
        <w:rPr>
          <w:rFonts w:ascii="Itim" w:hAnsi="Itim" w:cs="Itim"/>
        </w:rPr>
      </w:pPr>
      <w:r w:rsidRPr="00CA5091">
        <w:rPr>
          <w:rFonts w:ascii="Itim" w:hAnsi="Itim" w:cs="Itim"/>
        </w:rPr>
        <w:lastRenderedPageBreak/>
        <w:t>Referencias bibliográficas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 xml:space="preserve">Aronson, E., </w:t>
      </w:r>
      <w:proofErr w:type="spellStart"/>
      <w:r w:rsidRPr="00CA5091">
        <w:rPr>
          <w:rFonts w:ascii="Itim" w:hAnsi="Itim" w:cs="Itim"/>
          <w:color w:val="000000"/>
          <w:lang w:val="en-US"/>
        </w:rPr>
        <w:t>Blaney</w:t>
      </w:r>
      <w:proofErr w:type="spellEnd"/>
      <w:r w:rsidRPr="00CA5091">
        <w:rPr>
          <w:rFonts w:ascii="Itim" w:hAnsi="Itim" w:cs="Itim"/>
          <w:color w:val="000000"/>
          <w:lang w:val="en-US"/>
        </w:rPr>
        <w:t xml:space="preserve">, N., </w:t>
      </w:r>
      <w:proofErr w:type="spellStart"/>
      <w:r w:rsidRPr="00CA5091">
        <w:rPr>
          <w:rFonts w:ascii="Itim" w:hAnsi="Itim" w:cs="Itim"/>
          <w:color w:val="000000"/>
          <w:lang w:val="en-US"/>
        </w:rPr>
        <w:t>Stephin</w:t>
      </w:r>
      <w:proofErr w:type="spellEnd"/>
      <w:r w:rsidRPr="00CA5091">
        <w:rPr>
          <w:rFonts w:ascii="Itim" w:hAnsi="Itim" w:cs="Itim"/>
          <w:color w:val="000000"/>
          <w:lang w:val="en-US"/>
        </w:rPr>
        <w:t xml:space="preserve">, C., Sikes, J. y </w:t>
      </w:r>
      <w:proofErr w:type="spellStart"/>
      <w:r w:rsidRPr="00CA5091">
        <w:rPr>
          <w:rFonts w:ascii="Itim" w:hAnsi="Itim" w:cs="Itim"/>
          <w:color w:val="000000"/>
          <w:lang w:val="en-US"/>
        </w:rPr>
        <w:t>Snapp</w:t>
      </w:r>
      <w:proofErr w:type="spellEnd"/>
      <w:r w:rsidRPr="00CA5091">
        <w:rPr>
          <w:rFonts w:ascii="Itim" w:hAnsi="Itim" w:cs="Itim"/>
          <w:color w:val="000000"/>
          <w:lang w:val="en-US"/>
        </w:rPr>
        <w:t>, M. (1978). The jigsaw classroom. Sage Publications.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 xml:space="preserve">Barkley, E. F., Cross, K. P. y Major, C. H. (2014). Collaborative learning techniques: A handbook for college faculty (2.ª ed.). </w:t>
      </w:r>
      <w:proofErr w:type="spellStart"/>
      <w:r w:rsidRPr="00CA5091">
        <w:rPr>
          <w:rFonts w:ascii="Itim" w:hAnsi="Itim" w:cs="Itim"/>
          <w:color w:val="000000"/>
          <w:lang w:val="en-US"/>
        </w:rPr>
        <w:t>Jossey</w:t>
      </w:r>
      <w:proofErr w:type="spellEnd"/>
      <w:r w:rsidRPr="00CA5091">
        <w:rPr>
          <w:rFonts w:ascii="Itim" w:hAnsi="Itim" w:cs="Itim"/>
          <w:color w:val="000000"/>
          <w:lang w:val="en-US"/>
        </w:rPr>
        <w:t>-Bass.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De Bono, E. (1985). Six thinking hats. Little, Brown and Company.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Hattie, J. (2009). Visible learning: A synthesis of over 800 meta-analyses relating to achievement. Routledge.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 xml:space="preserve">Johnson, D. W. y Johnson, R. T. (2009). An educational psychology success story: Social interdependence theory and cooperative learning. Educational Researcher, 38(5), 365-379. </w:t>
      </w:r>
      <w:hyperlink r:id="rId13" w:history="1">
        <w:r w:rsidR="004A5DBA" w:rsidRPr="00CB6611">
          <w:rPr>
            <w:rStyle w:val="Hipervnculo"/>
            <w:rFonts w:ascii="Itim" w:hAnsi="Itim" w:cs="Itim"/>
            <w:lang w:val="en-US"/>
          </w:rPr>
          <w:t>https://doi.org/10.3102/0013189X09339057</w:t>
        </w:r>
      </w:hyperlink>
      <w:r w:rsidR="004A5DBA">
        <w:rPr>
          <w:rFonts w:ascii="Itim" w:hAnsi="Itim" w:cs="Itim"/>
          <w:color w:val="000000"/>
          <w:lang w:val="en-US"/>
        </w:rPr>
        <w:t xml:space="preserve"> </w:t>
      </w:r>
      <w:bookmarkStart w:id="0" w:name="_GoBack"/>
      <w:bookmarkEnd w:id="0"/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 xml:space="preserve">Johnson, D. W., Johnson, R. T. y </w:t>
      </w:r>
      <w:proofErr w:type="spellStart"/>
      <w:r w:rsidRPr="00CA5091">
        <w:rPr>
          <w:rFonts w:ascii="Itim" w:hAnsi="Itim" w:cs="Itim"/>
          <w:color w:val="000000"/>
          <w:lang w:val="en-US"/>
        </w:rPr>
        <w:t>Holubec</w:t>
      </w:r>
      <w:proofErr w:type="spellEnd"/>
      <w:r w:rsidRPr="00CA5091">
        <w:rPr>
          <w:rFonts w:ascii="Itim" w:hAnsi="Itim" w:cs="Itim"/>
          <w:color w:val="000000"/>
          <w:lang w:val="en-US"/>
        </w:rPr>
        <w:t>, E. J. (2013). Cooperation in the classroom (9.ª ed.). Interaction Book Company.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Kagan, S. (2009). Kagan cooperative learning. Kagan Publishing.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Kolb, D. A. (1984). Experiential learning: Experience as the source of learning and development. Prentice-Hall.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Osborn, A. F. (1953). Applied imagination: Principles and procedures of creative problem-solving. Scribner.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proofErr w:type="spellStart"/>
      <w:r w:rsidRPr="00CA5091">
        <w:rPr>
          <w:rFonts w:ascii="Itim" w:hAnsi="Itim" w:cs="Itim"/>
          <w:color w:val="000000"/>
          <w:lang w:val="en-US"/>
        </w:rPr>
        <w:t>Petress</w:t>
      </w:r>
      <w:proofErr w:type="spellEnd"/>
      <w:r w:rsidRPr="00CA5091">
        <w:rPr>
          <w:rFonts w:ascii="Itim" w:hAnsi="Itim" w:cs="Itim"/>
          <w:color w:val="000000"/>
          <w:lang w:val="en-US"/>
        </w:rPr>
        <w:t>, K. (2006). An operational definition of class participation. College Student Journal, 40(4), 821-823.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>Phillips, J. D. (1948). Report on discussion 66. Adult Education Journal, 7, 181-182.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proofErr w:type="spellStart"/>
      <w:r w:rsidRPr="00CA5091">
        <w:rPr>
          <w:rFonts w:ascii="Itim" w:hAnsi="Itim" w:cs="Itim"/>
          <w:color w:val="000000"/>
          <w:lang w:val="en-US"/>
        </w:rPr>
        <w:t>Serdyukov</w:t>
      </w:r>
      <w:proofErr w:type="spellEnd"/>
      <w:r w:rsidRPr="00CA5091">
        <w:rPr>
          <w:rFonts w:ascii="Itim" w:hAnsi="Itim" w:cs="Itim"/>
          <w:color w:val="000000"/>
          <w:lang w:val="en-US"/>
        </w:rPr>
        <w:t xml:space="preserve">, P. (2017). Innovation in education: What works, what doesn't, and what to do about it? Journal of Research in Innovative Teaching &amp; Learning, 10(1), 4-33. </w:t>
      </w:r>
      <w:hyperlink r:id="rId14" w:history="1">
        <w:r w:rsidR="004A5DBA" w:rsidRPr="00CB6611">
          <w:rPr>
            <w:rStyle w:val="Hipervnculo"/>
            <w:rFonts w:ascii="Itim" w:hAnsi="Itim" w:cs="Itim"/>
            <w:lang w:val="en-US"/>
          </w:rPr>
          <w:t>https://doi.org/10.1108/JRIT-10-2016-0007</w:t>
        </w:r>
      </w:hyperlink>
      <w:r w:rsidR="004A5DBA">
        <w:rPr>
          <w:rFonts w:ascii="Itim" w:hAnsi="Itim" w:cs="Itim"/>
          <w:color w:val="000000"/>
          <w:lang w:val="en-US"/>
        </w:rPr>
        <w:t xml:space="preserve"> 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proofErr w:type="spellStart"/>
      <w:r w:rsidRPr="00CA5091">
        <w:rPr>
          <w:rFonts w:ascii="Itim" w:hAnsi="Itim" w:cs="Itim"/>
          <w:color w:val="000000"/>
          <w:lang w:val="en-US"/>
        </w:rPr>
        <w:t>Sharan</w:t>
      </w:r>
      <w:proofErr w:type="spellEnd"/>
      <w:r w:rsidRPr="00CA5091">
        <w:rPr>
          <w:rFonts w:ascii="Itim" w:hAnsi="Itim" w:cs="Itim"/>
          <w:color w:val="000000"/>
          <w:lang w:val="en-US"/>
        </w:rPr>
        <w:t xml:space="preserve">, Y. y </w:t>
      </w:r>
      <w:proofErr w:type="spellStart"/>
      <w:r w:rsidRPr="00CA5091">
        <w:rPr>
          <w:rFonts w:ascii="Itim" w:hAnsi="Itim" w:cs="Itim"/>
          <w:color w:val="000000"/>
          <w:lang w:val="en-US"/>
        </w:rPr>
        <w:t>Sharan</w:t>
      </w:r>
      <w:proofErr w:type="spellEnd"/>
      <w:r w:rsidRPr="00CA5091">
        <w:rPr>
          <w:rFonts w:ascii="Itim" w:hAnsi="Itim" w:cs="Itim"/>
          <w:color w:val="000000"/>
          <w:lang w:val="en-US"/>
        </w:rPr>
        <w:t>, S. (1992). Expanding cooperative learning through group investigation. Teachers College Press.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proofErr w:type="spellStart"/>
      <w:r w:rsidRPr="00CA5091">
        <w:rPr>
          <w:rFonts w:ascii="Itim" w:hAnsi="Itim" w:cs="Itim"/>
          <w:color w:val="000000"/>
          <w:lang w:val="en-US"/>
        </w:rPr>
        <w:t>Slavin</w:t>
      </w:r>
      <w:proofErr w:type="spellEnd"/>
      <w:r w:rsidRPr="00CA5091">
        <w:rPr>
          <w:rFonts w:ascii="Itim" w:hAnsi="Itim" w:cs="Itim"/>
          <w:color w:val="000000"/>
          <w:lang w:val="en-US"/>
        </w:rPr>
        <w:t>, R. E. (1990). Cooperative learning: Theory, research, and practice. Prentice-Hall.</w:t>
      </w:r>
    </w:p>
    <w:p w:rsidR="00140569" w:rsidRPr="00CA5091" w:rsidRDefault="00CC728D" w:rsidP="007B19C0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proofErr w:type="spellStart"/>
      <w:r w:rsidRPr="004A5DBA">
        <w:rPr>
          <w:rFonts w:ascii="Itim" w:hAnsi="Itim" w:cs="Itim"/>
          <w:color w:val="000000"/>
          <w:lang w:val="en-US"/>
        </w:rPr>
        <w:t>Tarldsen</w:t>
      </w:r>
      <w:proofErr w:type="spellEnd"/>
      <w:r w:rsidRPr="004A5DBA">
        <w:rPr>
          <w:rFonts w:ascii="Itim" w:hAnsi="Itim" w:cs="Itim"/>
          <w:color w:val="000000"/>
          <w:lang w:val="en-US"/>
        </w:rPr>
        <w:t xml:space="preserve">, L. H., </w:t>
      </w:r>
      <w:proofErr w:type="spellStart"/>
      <w:r w:rsidRPr="004A5DBA">
        <w:rPr>
          <w:rFonts w:ascii="Itim" w:hAnsi="Itim" w:cs="Itim"/>
          <w:color w:val="000000"/>
          <w:lang w:val="en-US"/>
        </w:rPr>
        <w:t>Haara</w:t>
      </w:r>
      <w:proofErr w:type="spellEnd"/>
      <w:r w:rsidRPr="004A5DBA">
        <w:rPr>
          <w:rFonts w:ascii="Itim" w:hAnsi="Itim" w:cs="Itim"/>
          <w:color w:val="000000"/>
          <w:lang w:val="en-US"/>
        </w:rPr>
        <w:t xml:space="preserve">, F. O., </w:t>
      </w:r>
      <w:proofErr w:type="spellStart"/>
      <w:r w:rsidRPr="004A5DBA">
        <w:rPr>
          <w:rFonts w:ascii="Itim" w:hAnsi="Itim" w:cs="Itim"/>
          <w:color w:val="000000"/>
          <w:lang w:val="en-US"/>
        </w:rPr>
        <w:t>Lysne</w:t>
      </w:r>
      <w:proofErr w:type="spellEnd"/>
      <w:r w:rsidRPr="004A5DBA">
        <w:rPr>
          <w:rFonts w:ascii="Itim" w:hAnsi="Itim" w:cs="Itim"/>
          <w:color w:val="000000"/>
          <w:lang w:val="en-US"/>
        </w:rPr>
        <w:t xml:space="preserve">, M. S., Jensen, P. R. y </w:t>
      </w:r>
      <w:proofErr w:type="spellStart"/>
      <w:r w:rsidRPr="004A5DBA">
        <w:rPr>
          <w:rFonts w:ascii="Itim" w:hAnsi="Itim" w:cs="Itim"/>
          <w:color w:val="000000"/>
          <w:lang w:val="en-US"/>
        </w:rPr>
        <w:t>Jenssen</w:t>
      </w:r>
      <w:proofErr w:type="spellEnd"/>
      <w:r w:rsidRPr="004A5DBA">
        <w:rPr>
          <w:rFonts w:ascii="Itim" w:hAnsi="Itim" w:cs="Itim"/>
          <w:color w:val="000000"/>
          <w:lang w:val="en-US"/>
        </w:rPr>
        <w:t xml:space="preserve">, E. S. (2022). </w:t>
      </w:r>
      <w:r w:rsidRPr="00CA5091">
        <w:rPr>
          <w:rFonts w:ascii="Itim" w:hAnsi="Itim" w:cs="Itim"/>
          <w:color w:val="000000"/>
          <w:lang w:val="en-US"/>
        </w:rPr>
        <w:t xml:space="preserve">A review on use of serious games in science education. Computers &amp; Education Open, 3, 100072. </w:t>
      </w:r>
      <w:hyperlink r:id="rId15" w:history="1">
        <w:r w:rsidR="004A5DBA" w:rsidRPr="00CB6611">
          <w:rPr>
            <w:rStyle w:val="Hipervnculo"/>
            <w:rFonts w:ascii="Itim" w:hAnsi="Itim" w:cs="Itim"/>
            <w:lang w:val="en-US"/>
          </w:rPr>
          <w:t>https://doi.org/10.1016/j.caeo.2022.100072</w:t>
        </w:r>
      </w:hyperlink>
      <w:r w:rsidR="004A5DBA">
        <w:rPr>
          <w:rFonts w:ascii="Itim" w:hAnsi="Itim" w:cs="Itim"/>
          <w:color w:val="000000"/>
          <w:lang w:val="en-US"/>
        </w:rPr>
        <w:t xml:space="preserve"> </w:t>
      </w:r>
    </w:p>
    <w:p w:rsidR="00140569" w:rsidRPr="00CA5091" w:rsidRDefault="00CC728D" w:rsidP="004A5DBA">
      <w:pPr>
        <w:spacing w:before="80" w:after="240" w:line="276" w:lineRule="auto"/>
        <w:ind w:left="709" w:hanging="709"/>
        <w:jc w:val="both"/>
        <w:rPr>
          <w:rFonts w:ascii="Itim" w:hAnsi="Itim" w:cs="Itim"/>
          <w:lang w:val="en-US"/>
        </w:rPr>
      </w:pPr>
      <w:r w:rsidRPr="00CA5091">
        <w:rPr>
          <w:rFonts w:ascii="Itim" w:hAnsi="Itim" w:cs="Itim"/>
          <w:color w:val="000000"/>
          <w:lang w:val="en-US"/>
        </w:rPr>
        <w:t xml:space="preserve">Topping, K. J. (2005). Trends in peer learning. Educational Psychology, 25(6), 631-645. </w:t>
      </w:r>
      <w:hyperlink r:id="rId16" w:history="1">
        <w:r w:rsidR="004A5DBA" w:rsidRPr="00CB6611">
          <w:rPr>
            <w:rStyle w:val="Hipervnculo"/>
            <w:rFonts w:ascii="Itim" w:hAnsi="Itim" w:cs="Itim"/>
            <w:lang w:val="en-US"/>
          </w:rPr>
          <w:t>https://doi.org/10.1080/01443410500345172</w:t>
        </w:r>
      </w:hyperlink>
      <w:r w:rsidR="004A5DBA">
        <w:rPr>
          <w:rFonts w:ascii="Itim" w:hAnsi="Itim" w:cs="Itim"/>
          <w:color w:val="000000"/>
          <w:lang w:val="en-US"/>
        </w:rPr>
        <w:t xml:space="preserve"> </w:t>
      </w:r>
    </w:p>
    <w:sectPr w:rsidR="00140569" w:rsidRPr="00CA5091">
      <w:headerReference w:type="default" r:id="rId17"/>
      <w:footerReference w:type="default" r:id="rId1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E7D45" w:rsidRDefault="004E7D45">
      <w:r>
        <w:separator/>
      </w:r>
    </w:p>
  </w:endnote>
  <w:endnote w:type="continuationSeparator" w:id="0">
    <w:p w:rsidR="004E7D45" w:rsidRDefault="004E7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tim">
    <w:panose1 w:val="00000500000000000000"/>
    <w:charset w:val="00"/>
    <w:family w:val="auto"/>
    <w:pitch w:val="variable"/>
    <w:sig w:usb0="2100000F" w:usb1="00000001" w:usb2="00000000" w:usb3="00000000" w:csb0="0001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69" w:rsidRPr="00CA5091" w:rsidRDefault="007B19C0" w:rsidP="007B19C0">
    <w:pPr>
      <w:pBdr>
        <w:top w:val="single" w:sz="4" w:space="4" w:color="2E86C1"/>
      </w:pBdr>
      <w:tabs>
        <w:tab w:val="right" w:pos="9026"/>
      </w:tabs>
      <w:spacing w:before="120"/>
      <w:jc w:val="center"/>
      <w:rPr>
        <w:rFonts w:ascii="Itim" w:hAnsi="Itim" w:cs="Itim"/>
      </w:rPr>
    </w:pPr>
    <w:r>
      <w:rPr>
        <w:rFonts w:ascii="Itim" w:hAnsi="Itim" w:cs="Itim"/>
        <w:color w:val="888888"/>
        <w:sz w:val="18"/>
        <w:szCs w:val="18"/>
      </w:rPr>
      <w:t xml:space="preserve">                                                </w:t>
    </w:r>
    <w:r w:rsidR="00CC728D" w:rsidRPr="00CA5091">
      <w:rPr>
        <w:rFonts w:ascii="Itim" w:hAnsi="Itim" w:cs="Itim"/>
        <w:color w:val="888888"/>
        <w:sz w:val="18"/>
        <w:szCs w:val="18"/>
      </w:rPr>
      <w:t xml:space="preserve">Estrategias para la Dinamización y </w:t>
    </w:r>
    <w:proofErr w:type="spellStart"/>
    <w:r w:rsidR="00CC728D" w:rsidRPr="00CA5091">
      <w:rPr>
        <w:rFonts w:ascii="Itim" w:hAnsi="Itim" w:cs="Itim"/>
        <w:color w:val="888888"/>
        <w:sz w:val="18"/>
        <w:szCs w:val="18"/>
      </w:rPr>
      <w:t>Gamificación</w:t>
    </w:r>
    <w:proofErr w:type="spellEnd"/>
    <w:r w:rsidR="00CC728D" w:rsidRPr="00CA5091">
      <w:rPr>
        <w:rFonts w:ascii="Itim" w:hAnsi="Itim" w:cs="Itim"/>
        <w:color w:val="888888"/>
        <w:sz w:val="18"/>
        <w:szCs w:val="18"/>
      </w:rPr>
      <w:t xml:space="preserve"> en el Aula</w:t>
    </w:r>
    <w:r>
      <w:rPr>
        <w:rFonts w:ascii="Itim" w:hAnsi="Itim" w:cs="Itim"/>
        <w:color w:val="888888"/>
        <w:sz w:val="18"/>
        <w:szCs w:val="18"/>
      </w:rPr>
      <w:t xml:space="preserve">                                                        </w:t>
    </w:r>
    <w:r w:rsidR="00CC728D" w:rsidRPr="00CA5091">
      <w:rPr>
        <w:rFonts w:ascii="Itim" w:hAnsi="Itim" w:cs="Itim"/>
        <w:color w:val="888888"/>
        <w:sz w:val="18"/>
        <w:szCs w:val="18"/>
      </w:rPr>
      <w:fldChar w:fldCharType="begin"/>
    </w:r>
    <w:r w:rsidR="00CC728D" w:rsidRPr="00CA5091">
      <w:rPr>
        <w:rFonts w:ascii="Itim" w:hAnsi="Itim" w:cs="Itim"/>
        <w:color w:val="888888"/>
        <w:sz w:val="18"/>
        <w:szCs w:val="18"/>
      </w:rPr>
      <w:instrText>PAGE</w:instrText>
    </w:r>
    <w:r w:rsidR="00CC728D" w:rsidRPr="00CA5091">
      <w:rPr>
        <w:rFonts w:ascii="Itim" w:hAnsi="Itim" w:cs="Itim"/>
        <w:color w:val="888888"/>
        <w:sz w:val="18"/>
        <w:szCs w:val="18"/>
      </w:rPr>
      <w:fldChar w:fldCharType="separate"/>
    </w:r>
    <w:r w:rsidR="004A5DBA">
      <w:rPr>
        <w:rFonts w:ascii="Itim" w:hAnsi="Itim" w:cs="Itim"/>
        <w:noProof/>
        <w:color w:val="888888"/>
        <w:sz w:val="18"/>
        <w:szCs w:val="18"/>
      </w:rPr>
      <w:t>13</w:t>
    </w:r>
    <w:r w:rsidR="00CC728D" w:rsidRPr="00CA5091">
      <w:rPr>
        <w:rFonts w:ascii="Itim" w:hAnsi="Itim" w:cs="Itim"/>
        <w:color w:val="888888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E7D45" w:rsidRDefault="004E7D45">
      <w:r>
        <w:separator/>
      </w:r>
    </w:p>
  </w:footnote>
  <w:footnote w:type="continuationSeparator" w:id="0">
    <w:p w:rsidR="004E7D45" w:rsidRDefault="004E7D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0569" w:rsidRPr="00CA5091" w:rsidRDefault="00CC728D" w:rsidP="00CA5091">
    <w:pPr>
      <w:pBdr>
        <w:bottom w:val="single" w:sz="4" w:space="4" w:color="2E86C1"/>
      </w:pBdr>
      <w:spacing w:after="120"/>
      <w:jc w:val="center"/>
      <w:rPr>
        <w:rFonts w:ascii="Itim" w:hAnsi="Itim" w:cs="Itim"/>
      </w:rPr>
    </w:pPr>
    <w:r w:rsidRPr="00CA5091">
      <w:rPr>
        <w:rFonts w:ascii="Itim" w:hAnsi="Itim" w:cs="Itim"/>
        <w:color w:val="888888"/>
        <w:sz w:val="18"/>
        <w:szCs w:val="18"/>
      </w:rPr>
      <w:t>Otras dinámicas para la dinamización del aula</w:t>
    </w:r>
    <w:r w:rsidRPr="00CA5091">
      <w:rPr>
        <w:rFonts w:ascii="Itim" w:hAnsi="Itim" w:cs="Itim"/>
        <w:color w:val="AAAAAA"/>
        <w:sz w:val="18"/>
        <w:szCs w:val="18"/>
      </w:rPr>
      <w:t xml:space="preserve">   ·   </w:t>
    </w:r>
    <w:proofErr w:type="spellStart"/>
    <w:r w:rsidRPr="00CA5091">
      <w:rPr>
        <w:rFonts w:ascii="Itim" w:hAnsi="Itim" w:cs="Itim"/>
        <w:color w:val="AAAAAA"/>
        <w:sz w:val="18"/>
        <w:szCs w:val="18"/>
      </w:rPr>
      <w:t>PRAUZ</w:t>
    </w:r>
    <w:proofErr w:type="spellEnd"/>
    <w:r w:rsidRPr="00CA5091">
      <w:rPr>
        <w:rFonts w:ascii="Itim" w:hAnsi="Itim" w:cs="Itim"/>
        <w:color w:val="AAAAAA"/>
        <w:sz w:val="18"/>
        <w:szCs w:val="18"/>
      </w:rPr>
      <w:t xml:space="preserve"> · Universidad de Zaragoza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E3D56"/>
    <w:multiLevelType w:val="hybridMultilevel"/>
    <w:tmpl w:val="B282C392"/>
    <w:lvl w:ilvl="0" w:tplc="44A4DA9C">
      <w:start w:val="1"/>
      <w:numFmt w:val="bullet"/>
      <w:lvlText w:val="●"/>
      <w:lvlJc w:val="left"/>
      <w:pPr>
        <w:ind w:left="720" w:hanging="360"/>
      </w:pPr>
    </w:lvl>
    <w:lvl w:ilvl="1" w:tplc="3642ECAC">
      <w:start w:val="1"/>
      <w:numFmt w:val="bullet"/>
      <w:lvlText w:val="○"/>
      <w:lvlJc w:val="left"/>
      <w:pPr>
        <w:ind w:left="1440" w:hanging="360"/>
      </w:pPr>
    </w:lvl>
    <w:lvl w:ilvl="2" w:tplc="1522F974">
      <w:start w:val="1"/>
      <w:numFmt w:val="bullet"/>
      <w:lvlText w:val="■"/>
      <w:lvlJc w:val="left"/>
      <w:pPr>
        <w:ind w:left="2160" w:hanging="360"/>
      </w:pPr>
    </w:lvl>
    <w:lvl w:ilvl="3" w:tplc="9CEA6E60">
      <w:start w:val="1"/>
      <w:numFmt w:val="bullet"/>
      <w:lvlText w:val="●"/>
      <w:lvlJc w:val="left"/>
      <w:pPr>
        <w:ind w:left="2880" w:hanging="360"/>
      </w:pPr>
    </w:lvl>
    <w:lvl w:ilvl="4" w:tplc="D4E86102">
      <w:start w:val="1"/>
      <w:numFmt w:val="bullet"/>
      <w:lvlText w:val="○"/>
      <w:lvlJc w:val="left"/>
      <w:pPr>
        <w:ind w:left="3600" w:hanging="360"/>
      </w:pPr>
    </w:lvl>
    <w:lvl w:ilvl="5" w:tplc="F08CC4D6">
      <w:start w:val="1"/>
      <w:numFmt w:val="bullet"/>
      <w:lvlText w:val="■"/>
      <w:lvlJc w:val="left"/>
      <w:pPr>
        <w:ind w:left="4320" w:hanging="360"/>
      </w:pPr>
    </w:lvl>
    <w:lvl w:ilvl="6" w:tplc="E9DE93E4">
      <w:start w:val="1"/>
      <w:numFmt w:val="bullet"/>
      <w:lvlText w:val="●"/>
      <w:lvlJc w:val="left"/>
      <w:pPr>
        <w:ind w:left="5040" w:hanging="360"/>
      </w:pPr>
    </w:lvl>
    <w:lvl w:ilvl="7" w:tplc="05EEC0B2">
      <w:start w:val="1"/>
      <w:numFmt w:val="bullet"/>
      <w:lvlText w:val="●"/>
      <w:lvlJc w:val="left"/>
      <w:pPr>
        <w:ind w:left="5760" w:hanging="360"/>
      </w:pPr>
    </w:lvl>
    <w:lvl w:ilvl="8" w:tplc="0478BBB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17D033FD"/>
    <w:multiLevelType w:val="hybridMultilevel"/>
    <w:tmpl w:val="46EEA2D2"/>
    <w:lvl w:ilvl="0" w:tplc="E0E2CB7A">
      <w:start w:val="1"/>
      <w:numFmt w:val="bullet"/>
      <w:lvlText w:val="–"/>
      <w:lvlJc w:val="left"/>
      <w:pPr>
        <w:ind w:left="480" w:hanging="240"/>
      </w:pPr>
    </w:lvl>
    <w:lvl w:ilvl="1" w:tplc="7AD6FABE">
      <w:numFmt w:val="decimal"/>
      <w:lvlText w:val=""/>
      <w:lvlJc w:val="left"/>
    </w:lvl>
    <w:lvl w:ilvl="2" w:tplc="EB48C546">
      <w:numFmt w:val="decimal"/>
      <w:lvlText w:val=""/>
      <w:lvlJc w:val="left"/>
    </w:lvl>
    <w:lvl w:ilvl="3" w:tplc="A3F4311E">
      <w:numFmt w:val="decimal"/>
      <w:lvlText w:val=""/>
      <w:lvlJc w:val="left"/>
    </w:lvl>
    <w:lvl w:ilvl="4" w:tplc="C71049CC">
      <w:numFmt w:val="decimal"/>
      <w:lvlText w:val=""/>
      <w:lvlJc w:val="left"/>
    </w:lvl>
    <w:lvl w:ilvl="5" w:tplc="A0D0C958">
      <w:numFmt w:val="decimal"/>
      <w:lvlText w:val=""/>
      <w:lvlJc w:val="left"/>
    </w:lvl>
    <w:lvl w:ilvl="6" w:tplc="D4820A66">
      <w:numFmt w:val="decimal"/>
      <w:lvlText w:val=""/>
      <w:lvlJc w:val="left"/>
    </w:lvl>
    <w:lvl w:ilvl="7" w:tplc="54466F24">
      <w:numFmt w:val="decimal"/>
      <w:lvlText w:val=""/>
      <w:lvlJc w:val="left"/>
    </w:lvl>
    <w:lvl w:ilvl="8" w:tplc="351A96AC">
      <w:numFmt w:val="decimal"/>
      <w:lvlText w:val=""/>
      <w:lvlJc w:val="left"/>
    </w:lvl>
  </w:abstractNum>
  <w:abstractNum w:abstractNumId="2" w15:restartNumberingAfterBreak="0">
    <w:nsid w:val="54B151FF"/>
    <w:multiLevelType w:val="hybridMultilevel"/>
    <w:tmpl w:val="C2EC65E4"/>
    <w:lvl w:ilvl="0" w:tplc="5A8E58CC">
      <w:start w:val="1"/>
      <w:numFmt w:val="bullet"/>
      <w:lvlText w:val="◦"/>
      <w:lvlJc w:val="left"/>
      <w:pPr>
        <w:ind w:left="1080" w:hanging="360"/>
      </w:pPr>
    </w:lvl>
    <w:lvl w:ilvl="1" w:tplc="F6B882F2">
      <w:numFmt w:val="decimal"/>
      <w:lvlText w:val=""/>
      <w:lvlJc w:val="left"/>
    </w:lvl>
    <w:lvl w:ilvl="2" w:tplc="F8F8EA94">
      <w:numFmt w:val="decimal"/>
      <w:lvlText w:val=""/>
      <w:lvlJc w:val="left"/>
    </w:lvl>
    <w:lvl w:ilvl="3" w:tplc="E4D4357A">
      <w:numFmt w:val="decimal"/>
      <w:lvlText w:val=""/>
      <w:lvlJc w:val="left"/>
    </w:lvl>
    <w:lvl w:ilvl="4" w:tplc="1876A622">
      <w:numFmt w:val="decimal"/>
      <w:lvlText w:val=""/>
      <w:lvlJc w:val="left"/>
    </w:lvl>
    <w:lvl w:ilvl="5" w:tplc="FB6C0818">
      <w:numFmt w:val="decimal"/>
      <w:lvlText w:val=""/>
      <w:lvlJc w:val="left"/>
    </w:lvl>
    <w:lvl w:ilvl="6" w:tplc="E1C24E68">
      <w:numFmt w:val="decimal"/>
      <w:lvlText w:val=""/>
      <w:lvlJc w:val="left"/>
    </w:lvl>
    <w:lvl w:ilvl="7" w:tplc="40E6059E">
      <w:numFmt w:val="decimal"/>
      <w:lvlText w:val=""/>
      <w:lvlJc w:val="left"/>
    </w:lvl>
    <w:lvl w:ilvl="8" w:tplc="F76C7516">
      <w:numFmt w:val="decimal"/>
      <w:lvlText w:val=""/>
      <w:lvlJc w:val="left"/>
    </w:lvl>
  </w:abstractNum>
  <w:abstractNum w:abstractNumId="3" w15:restartNumberingAfterBreak="0">
    <w:nsid w:val="621A4AAE"/>
    <w:multiLevelType w:val="hybridMultilevel"/>
    <w:tmpl w:val="99361256"/>
    <w:lvl w:ilvl="0" w:tplc="BF6AFB54">
      <w:start w:val="1"/>
      <w:numFmt w:val="bullet"/>
      <w:lvlText w:val="•"/>
      <w:lvlJc w:val="left"/>
      <w:pPr>
        <w:ind w:left="720" w:hanging="360"/>
      </w:pPr>
    </w:lvl>
    <w:lvl w:ilvl="1" w:tplc="477499BE">
      <w:numFmt w:val="decimal"/>
      <w:lvlText w:val=""/>
      <w:lvlJc w:val="left"/>
    </w:lvl>
    <w:lvl w:ilvl="2" w:tplc="76088FA4">
      <w:numFmt w:val="decimal"/>
      <w:lvlText w:val=""/>
      <w:lvlJc w:val="left"/>
    </w:lvl>
    <w:lvl w:ilvl="3" w:tplc="053E5D4A">
      <w:numFmt w:val="decimal"/>
      <w:lvlText w:val=""/>
      <w:lvlJc w:val="left"/>
    </w:lvl>
    <w:lvl w:ilvl="4" w:tplc="4A38CB36">
      <w:numFmt w:val="decimal"/>
      <w:lvlText w:val=""/>
      <w:lvlJc w:val="left"/>
    </w:lvl>
    <w:lvl w:ilvl="5" w:tplc="5D5AD704">
      <w:numFmt w:val="decimal"/>
      <w:lvlText w:val=""/>
      <w:lvlJc w:val="left"/>
    </w:lvl>
    <w:lvl w:ilvl="6" w:tplc="62780A86">
      <w:numFmt w:val="decimal"/>
      <w:lvlText w:val=""/>
      <w:lvlJc w:val="left"/>
    </w:lvl>
    <w:lvl w:ilvl="7" w:tplc="1E782E00">
      <w:numFmt w:val="decimal"/>
      <w:lvlText w:val=""/>
      <w:lvlJc w:val="left"/>
    </w:lvl>
    <w:lvl w:ilvl="8" w:tplc="1E6A3940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0569"/>
    <w:rsid w:val="00140569"/>
    <w:rsid w:val="003A17B3"/>
    <w:rsid w:val="004A5DBA"/>
    <w:rsid w:val="004E7D45"/>
    <w:rsid w:val="007B19C0"/>
    <w:rsid w:val="00CA5091"/>
    <w:rsid w:val="00CC7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2802B"/>
  <w15:docId w15:val="{1CFB5F3C-BF3B-45EC-8945-47230999A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qFormat/>
    <w:pPr>
      <w:spacing w:before="400" w:after="200"/>
      <w:outlineLvl w:val="0"/>
    </w:pPr>
    <w:rPr>
      <w:b/>
      <w:bCs/>
      <w:color w:val="1A5276"/>
      <w:sz w:val="32"/>
      <w:szCs w:val="32"/>
    </w:rPr>
  </w:style>
  <w:style w:type="paragraph" w:styleId="Ttulo2">
    <w:name w:val="heading 2"/>
    <w:qFormat/>
    <w:pPr>
      <w:spacing w:before="300" w:after="160"/>
      <w:outlineLvl w:val="1"/>
    </w:pPr>
    <w:rPr>
      <w:b/>
      <w:bCs/>
      <w:color w:val="2E86C1"/>
      <w:sz w:val="26"/>
      <w:szCs w:val="26"/>
    </w:rPr>
  </w:style>
  <w:style w:type="paragraph" w:styleId="Ttulo3">
    <w:name w:val="heading 3"/>
    <w:qFormat/>
    <w:pPr>
      <w:spacing w:before="220" w:after="120"/>
      <w:outlineLvl w:val="2"/>
    </w:pPr>
    <w:rPr>
      <w:b/>
      <w:bCs/>
      <w:color w:val="E67E22"/>
      <w:sz w:val="24"/>
      <w:szCs w:val="24"/>
    </w:rPr>
  </w:style>
  <w:style w:type="paragraph" w:styleId="Ttulo4">
    <w:name w:val="heading 4"/>
    <w:qFormat/>
    <w:pPr>
      <w:outlineLvl w:val="3"/>
    </w:pPr>
    <w:rPr>
      <w:i/>
      <w:iCs/>
      <w:color w:val="2E74B5"/>
    </w:rPr>
  </w:style>
  <w:style w:type="paragraph" w:styleId="Ttulo5">
    <w:name w:val="heading 5"/>
    <w:qFormat/>
    <w:pPr>
      <w:outlineLvl w:val="4"/>
    </w:pPr>
    <w:rPr>
      <w:color w:val="2E74B5"/>
    </w:rPr>
  </w:style>
  <w:style w:type="paragraph" w:styleId="Ttulo6">
    <w:name w:val="heading 6"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  <w:rPr>
      <w:sz w:val="20"/>
      <w:szCs w:val="20"/>
    </w:rPr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CA509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5091"/>
  </w:style>
  <w:style w:type="paragraph" w:styleId="Piedepgina">
    <w:name w:val="footer"/>
    <w:basedOn w:val="Normal"/>
    <w:link w:val="PiedepginaCar"/>
    <w:uiPriority w:val="99"/>
    <w:unhideWhenUsed/>
    <w:rsid w:val="00CA509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50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doi.org/10.3102/0013189X09339057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doi.org/10.1080/01443410500345172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hyperlink" Target="https://doi.org/10.1016/j.caeo.2022.100072" TargetMode="External"/><Relationship Id="rId10" Type="http://schemas.microsoft.com/office/2007/relationships/hdphoto" Target="media/hdphoto1.wdp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doi.org/10.1108/JRIT-10-2016-000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13</Pages>
  <Words>2885</Words>
  <Characters>15868</Characters>
  <Application>Microsoft Office Word</Application>
  <DocSecurity>0</DocSecurity>
  <Lines>132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PPC</cp:lastModifiedBy>
  <cp:revision>3</cp:revision>
  <dcterms:created xsi:type="dcterms:W3CDTF">2026-05-08T11:50:00Z</dcterms:created>
  <dcterms:modified xsi:type="dcterms:W3CDTF">2026-06-02T21:22:00Z</dcterms:modified>
</cp:coreProperties>
</file>