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E9" w:rsidRPr="00CC32BC" w:rsidRDefault="00D26B98" w:rsidP="00CC32BC">
      <w:pPr>
        <w:jc w:val="center"/>
        <w:rPr>
          <w:b/>
          <w:color w:val="ED7D31" w:themeColor="accent2"/>
          <w:sz w:val="32"/>
          <w:szCs w:val="32"/>
        </w:rPr>
      </w:pPr>
      <w:r w:rsidRPr="00CC32BC">
        <w:rPr>
          <w:b/>
          <w:color w:val="ED7D31" w:themeColor="accent2"/>
          <w:sz w:val="32"/>
          <w:szCs w:val="32"/>
        </w:rPr>
        <w:t>Preguntas frecuentes</w:t>
      </w:r>
    </w:p>
    <w:p w:rsidR="003D35E3" w:rsidRPr="00CC32BC" w:rsidRDefault="00CC32BC" w:rsidP="00CC32BC">
      <w:pPr>
        <w:jc w:val="center"/>
        <w:rPr>
          <w:b/>
          <w:sz w:val="28"/>
          <w:szCs w:val="28"/>
        </w:rPr>
      </w:pPr>
      <w:r w:rsidRPr="00CC32BC">
        <w:rPr>
          <w:b/>
          <w:color w:val="2F5496" w:themeColor="accent1" w:themeShade="BF"/>
          <w:sz w:val="28"/>
          <w:szCs w:val="28"/>
        </w:rPr>
        <w:t>Práctica 3</w:t>
      </w:r>
    </w:p>
    <w:p w:rsidR="00CC32BC" w:rsidRDefault="00CC32BC" w:rsidP="003D35E3">
      <w:pPr>
        <w:rPr>
          <w:b/>
        </w:rPr>
      </w:pPr>
    </w:p>
    <w:p w:rsidR="003D35E3" w:rsidRPr="00CC32BC" w:rsidRDefault="003D35E3" w:rsidP="003D35E3">
      <w:pPr>
        <w:rPr>
          <w:b/>
          <w:color w:val="2F5496" w:themeColor="accent1" w:themeShade="BF"/>
        </w:rPr>
      </w:pPr>
      <w:r w:rsidRPr="00CC32BC">
        <w:rPr>
          <w:b/>
          <w:color w:val="2F5496" w:themeColor="accent1" w:themeShade="BF"/>
        </w:rPr>
        <w:t>¿Qué significa hacer un cortocircuito?</w:t>
      </w:r>
    </w:p>
    <w:p w:rsidR="003D35E3" w:rsidRDefault="003D35E3" w:rsidP="003D35E3">
      <w:r w:rsidRPr="003D35E3">
        <w:t xml:space="preserve">Hacer un cortocircuito significa unir dos puntos con un cable. </w:t>
      </w:r>
    </w:p>
    <w:p w:rsidR="00CC32BC" w:rsidRDefault="00D61902" w:rsidP="00D61902">
      <w:pPr>
        <w:spacing w:after="0"/>
        <w:jc w:val="center"/>
        <w:rPr>
          <w:i/>
        </w:rPr>
      </w:pPr>
      <w:r>
        <w:rPr>
          <w:i/>
          <w:noProof/>
          <w:lang w:eastAsia="es-ES"/>
        </w:rPr>
        <w:drawing>
          <wp:inline distT="0" distB="0" distL="0" distR="0" wp14:anchorId="22796422">
            <wp:extent cx="3436373" cy="1475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4934" cy="1487275"/>
                    </a:xfrm>
                    <a:prstGeom prst="rect">
                      <a:avLst/>
                    </a:prstGeom>
                    <a:noFill/>
                  </pic:spPr>
                </pic:pic>
              </a:graphicData>
            </a:graphic>
          </wp:inline>
        </w:drawing>
      </w:r>
    </w:p>
    <w:p w:rsidR="003D35E3" w:rsidRPr="00D61902" w:rsidRDefault="00D61902" w:rsidP="00D61902">
      <w:pPr>
        <w:jc w:val="center"/>
        <w:rPr>
          <w:i/>
          <w:sz w:val="18"/>
          <w:szCs w:val="18"/>
        </w:rPr>
      </w:pPr>
      <w:r w:rsidRPr="00D61902">
        <w:rPr>
          <w:i/>
          <w:sz w:val="18"/>
          <w:szCs w:val="18"/>
        </w:rPr>
        <w:t>Circuito de ejemplo con A y B cortocircuitado</w:t>
      </w:r>
    </w:p>
    <w:p w:rsidR="004E70EE" w:rsidRDefault="004E70EE" w:rsidP="003D35E3">
      <w:pPr>
        <w:rPr>
          <w:b/>
          <w:color w:val="2F5496" w:themeColor="accent1" w:themeShade="BF"/>
        </w:rPr>
      </w:pPr>
    </w:p>
    <w:p w:rsidR="003D35E3" w:rsidRPr="00CC32BC" w:rsidRDefault="003D35E3" w:rsidP="003D35E3">
      <w:pPr>
        <w:rPr>
          <w:b/>
          <w:color w:val="2F5496" w:themeColor="accent1" w:themeShade="BF"/>
        </w:rPr>
      </w:pPr>
      <w:r w:rsidRPr="00CC32BC">
        <w:rPr>
          <w:b/>
          <w:color w:val="2F5496" w:themeColor="accent1" w:themeShade="BF"/>
        </w:rPr>
        <w:t>¿Es peligroso hacer un cortocircuito?</w:t>
      </w:r>
    </w:p>
    <w:p w:rsidR="003D35E3" w:rsidRDefault="003D35E3" w:rsidP="00CC32BC">
      <w:pPr>
        <w:jc w:val="both"/>
      </w:pPr>
      <w:r>
        <w:t>Mientras no cortocircuites los dos terminales de la fuente, no. El circuito siempre tiene que tener una resistencia adecuada para limitar el valor de la corriente. Hacer un cortocircuito en una parte del circuito, si hay otras que limitan la corriente, no tiene ningún peligro.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394"/>
      </w:tblGrid>
      <w:tr w:rsidR="00F726B0" w:rsidTr="001443C9">
        <w:tc>
          <w:tcPr>
            <w:tcW w:w="4247" w:type="dxa"/>
          </w:tcPr>
          <w:p w:rsidR="00F726B0" w:rsidRDefault="001443C9" w:rsidP="00F726B0">
            <w:pPr>
              <w:jc w:val="cente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99967</wp:posOffset>
                      </wp:positionH>
                      <wp:positionV relativeFrom="paragraph">
                        <wp:posOffset>28484</wp:posOffset>
                      </wp:positionV>
                      <wp:extent cx="495300" cy="478790"/>
                      <wp:effectExtent l="0" t="0" r="0" b="0"/>
                      <wp:wrapNone/>
                      <wp:docPr id="5" name="Multiplicar 5"/>
                      <wp:cNvGraphicFramePr/>
                      <a:graphic xmlns:a="http://schemas.openxmlformats.org/drawingml/2006/main">
                        <a:graphicData uri="http://schemas.microsoft.com/office/word/2010/wordprocessingShape">
                          <wps:wsp>
                            <wps:cNvSpPr/>
                            <wps:spPr>
                              <a:xfrm>
                                <a:off x="0" y="0"/>
                                <a:ext cx="495300" cy="478790"/>
                              </a:xfrm>
                              <a:prstGeom prst="mathMultiply">
                                <a:avLst>
                                  <a:gd name="adj1" fmla="val 5331"/>
                                </a:avLst>
                              </a:prstGeom>
                              <a:solidFill>
                                <a:srgbClr val="FF0000"/>
                              </a:solidFill>
                              <a:ln>
                                <a:solidFill>
                                  <a:srgbClr val="FF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37F23C" id="Multiplicar 5" o:spid="_x0000_s1026" style="position:absolute;margin-left:7.85pt;margin-top:2.25pt;width:3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95300,47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" path="m110089,124169r17740,-18351l247650,221645,367471,105818r17740,18351l266012,239395,385211,354621r-17740,18351l247650,257145,127829,372972,110089,354621,229288,239395,110089,124169xe" fillcolor="red" strokecolor="red">
                      <v:shadow on="t" color="black" opacity="41287f" offset="0,1.5pt"/>
                      <v:path arrowok="t" o:connecttype="custom" o:connectlocs="110089,124169;127829,105818;247650,221645;367471,105818;385211,124169;266012,239395;385211,354621;367471,372972;247650,257145;127829,372972;110089,354621;229288,239395;110089,124169" o:connectangles="0,0,0,0,0,0,0,0,0,0,0,0,0"/>
                    </v:shape>
                  </w:pict>
                </mc:Fallback>
              </mc:AlternateContent>
            </w:r>
            <w:r w:rsidR="00F726B0">
              <w:rPr>
                <w:noProof/>
                <w:lang w:eastAsia="es-ES"/>
              </w:rPr>
              <w:drawing>
                <wp:inline distT="0" distB="0" distL="0" distR="0" wp14:anchorId="2F9B50D3">
                  <wp:extent cx="1567543" cy="94979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637" cy="954093"/>
                          </a:xfrm>
                          <a:prstGeom prst="rect">
                            <a:avLst/>
                          </a:prstGeom>
                          <a:noFill/>
                        </pic:spPr>
                      </pic:pic>
                    </a:graphicData>
                  </a:graphic>
                </wp:inline>
              </w:drawing>
            </w:r>
          </w:p>
        </w:tc>
        <w:tc>
          <w:tcPr>
            <w:tcW w:w="4247" w:type="dxa"/>
          </w:tcPr>
          <w:p w:rsidR="00F726B0" w:rsidRDefault="00F726B0" w:rsidP="00CC32BC">
            <w:pPr>
              <w:jc w:val="both"/>
            </w:pPr>
            <w:r>
              <w:rPr>
                <w:noProof/>
                <w:lang w:eastAsia="es-ES"/>
              </w:rPr>
              <w:drawing>
                <wp:inline distT="0" distB="0" distL="0" distR="0" wp14:anchorId="1635758A">
                  <wp:extent cx="2653393" cy="77312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028" cy="789922"/>
                          </a:xfrm>
                          <a:prstGeom prst="rect">
                            <a:avLst/>
                          </a:prstGeom>
                          <a:noFill/>
                        </pic:spPr>
                      </pic:pic>
                    </a:graphicData>
                  </a:graphic>
                </wp:inline>
              </w:drawing>
            </w:r>
          </w:p>
        </w:tc>
      </w:tr>
      <w:tr w:rsidR="00F726B0" w:rsidRPr="00F726B0" w:rsidTr="001443C9">
        <w:tc>
          <w:tcPr>
            <w:tcW w:w="4247" w:type="dxa"/>
          </w:tcPr>
          <w:p w:rsidR="00F726B0" w:rsidRPr="00F726B0" w:rsidRDefault="00F726B0" w:rsidP="00F726B0">
            <w:pPr>
              <w:jc w:val="center"/>
              <w:rPr>
                <w:i/>
                <w:sz w:val="18"/>
                <w:szCs w:val="18"/>
              </w:rPr>
            </w:pPr>
            <w:r w:rsidRPr="00F726B0">
              <w:rPr>
                <w:i/>
                <w:sz w:val="18"/>
                <w:szCs w:val="18"/>
              </w:rPr>
              <w:t>No hacer nunca</w:t>
            </w:r>
          </w:p>
        </w:tc>
        <w:tc>
          <w:tcPr>
            <w:tcW w:w="4247" w:type="dxa"/>
          </w:tcPr>
          <w:p w:rsidR="00F726B0" w:rsidRPr="00F726B0" w:rsidRDefault="00F726B0" w:rsidP="00F726B0">
            <w:pPr>
              <w:jc w:val="center"/>
              <w:rPr>
                <w:i/>
                <w:sz w:val="18"/>
                <w:szCs w:val="18"/>
              </w:rPr>
            </w:pPr>
            <w:r>
              <w:rPr>
                <w:i/>
                <w:sz w:val="18"/>
                <w:szCs w:val="18"/>
              </w:rPr>
              <w:t>Cortocircuito posible, si R</w:t>
            </w:r>
            <w:r>
              <w:rPr>
                <w:i/>
                <w:sz w:val="18"/>
                <w:szCs w:val="18"/>
                <w:vertAlign w:val="subscript"/>
              </w:rPr>
              <w:t>1</w:t>
            </w:r>
            <w:r>
              <w:rPr>
                <w:i/>
                <w:sz w:val="18"/>
                <w:szCs w:val="18"/>
              </w:rPr>
              <w:t xml:space="preserve"> limita la I por el circuito</w:t>
            </w:r>
          </w:p>
        </w:tc>
      </w:tr>
    </w:tbl>
    <w:p w:rsidR="00F726B0" w:rsidRDefault="00F726B0" w:rsidP="00CC32BC">
      <w:pPr>
        <w:jc w:val="both"/>
      </w:pPr>
    </w:p>
    <w:p w:rsidR="004E70EE" w:rsidRDefault="004E70EE" w:rsidP="003D35E3">
      <w:pPr>
        <w:rPr>
          <w:b/>
          <w:color w:val="2F5496" w:themeColor="accent1" w:themeShade="BF"/>
        </w:rPr>
      </w:pPr>
    </w:p>
    <w:p w:rsidR="003D35E3" w:rsidRPr="00CC32BC" w:rsidRDefault="003D35E3" w:rsidP="003D35E3">
      <w:pPr>
        <w:rPr>
          <w:b/>
          <w:color w:val="2F5496" w:themeColor="accent1" w:themeShade="BF"/>
        </w:rPr>
      </w:pPr>
      <w:r w:rsidRPr="00CC32BC">
        <w:rPr>
          <w:b/>
          <w:color w:val="2F5496" w:themeColor="accent1" w:themeShade="BF"/>
        </w:rPr>
        <w:t xml:space="preserve">¿Qué diferencia hay entre la resistencia de Norton y la de </w:t>
      </w:r>
      <w:proofErr w:type="spellStart"/>
      <w:r w:rsidRPr="00CC32BC">
        <w:rPr>
          <w:b/>
          <w:color w:val="2F5496" w:themeColor="accent1" w:themeShade="BF"/>
        </w:rPr>
        <w:t>Thévenin</w:t>
      </w:r>
      <w:proofErr w:type="spellEnd"/>
      <w:r w:rsidRPr="00CC32BC">
        <w:rPr>
          <w:b/>
          <w:color w:val="2F5496" w:themeColor="accent1" w:themeShade="BF"/>
        </w:rPr>
        <w:t>?</w:t>
      </w:r>
    </w:p>
    <w:p w:rsidR="003D35E3" w:rsidRDefault="003D35E3" w:rsidP="003D35E3">
      <w:r>
        <w:t xml:space="preserve">Ninguna. Son la misma resistencia. </w:t>
      </w:r>
    </w:p>
    <w:p w:rsidR="003D35E3" w:rsidRPr="003D35E3" w:rsidRDefault="003D35E3" w:rsidP="00CC32BC">
      <w:pPr>
        <w:jc w:val="both"/>
      </w:pPr>
      <w:r>
        <w:t xml:space="preserve">Esto es fácilmente deducible de las ecuaciones para convertir fuentes reales de tensión en fuentes reales de corriente, y viceversa. El valor de la resistencia, no cambia en la conversión. Por tanto, las resistencias de </w:t>
      </w:r>
      <w:proofErr w:type="spellStart"/>
      <w:r>
        <w:t>Thévenin</w:t>
      </w:r>
      <w:proofErr w:type="spellEnd"/>
      <w:r>
        <w:t xml:space="preserve"> y Norton tienen el mismo valor.</w:t>
      </w:r>
    </w:p>
    <w:p w:rsidR="003D35E3" w:rsidRDefault="003D35E3" w:rsidP="00A43AA8">
      <w:pPr>
        <w:rPr>
          <w:i/>
        </w:rPr>
      </w:pPr>
    </w:p>
    <w:p w:rsidR="003D35E3" w:rsidRPr="00CC32BC" w:rsidRDefault="003D35E3" w:rsidP="003D35E3">
      <w:pPr>
        <w:rPr>
          <w:b/>
          <w:color w:val="2F5496" w:themeColor="accent1" w:themeShade="BF"/>
        </w:rPr>
      </w:pPr>
      <w:r w:rsidRPr="00CC32BC">
        <w:rPr>
          <w:b/>
          <w:color w:val="2F5496" w:themeColor="accent1" w:themeShade="BF"/>
        </w:rPr>
        <w:t>¿Tengo que cortocircuitar los puntos A y B para sacar la resistencia de Norton?</w:t>
      </w:r>
    </w:p>
    <w:p w:rsidR="003D35E3" w:rsidRDefault="003D35E3" w:rsidP="00CC32BC">
      <w:pPr>
        <w:jc w:val="both"/>
      </w:pPr>
      <w:r w:rsidRPr="003D35E3">
        <w:t xml:space="preserve">No. </w:t>
      </w:r>
    </w:p>
    <w:p w:rsidR="003D35E3" w:rsidRDefault="003D35E3" w:rsidP="00CC32BC">
      <w:pPr>
        <w:jc w:val="both"/>
      </w:pPr>
      <w:r w:rsidRPr="003D35E3">
        <w:t xml:space="preserve">El </w:t>
      </w:r>
      <w:r w:rsidRPr="00CC32BC">
        <w:rPr>
          <w:b/>
        </w:rPr>
        <w:t>cortocircuito</w:t>
      </w:r>
      <w:r w:rsidRPr="003D35E3">
        <w:t xml:space="preserve"> lo haces para sacar la </w:t>
      </w:r>
      <w:r w:rsidRPr="00CC32BC">
        <w:rPr>
          <w:b/>
        </w:rPr>
        <w:t>corriente de Norton</w:t>
      </w:r>
      <w:r w:rsidRPr="003D35E3">
        <w:t xml:space="preserve">. Para sacar la </w:t>
      </w:r>
      <w:r w:rsidRPr="00CC32BC">
        <w:rPr>
          <w:b/>
        </w:rPr>
        <w:t>resistencia de Norton</w:t>
      </w:r>
      <w:r w:rsidRPr="003D35E3">
        <w:t xml:space="preserve">, el circuito entre </w:t>
      </w:r>
      <w:r w:rsidRPr="00CC32BC">
        <w:rPr>
          <w:b/>
        </w:rPr>
        <w:t>A y B tiene que estar abierto</w:t>
      </w:r>
      <w:r w:rsidRPr="003D35E3">
        <w:t xml:space="preserve"> (sin conectar nada adicional). </w:t>
      </w:r>
    </w:p>
    <w:p w:rsidR="003D35E3" w:rsidRDefault="003D35E3" w:rsidP="00CC32BC">
      <w:pPr>
        <w:jc w:val="both"/>
      </w:pPr>
      <w:r w:rsidRPr="003D35E3">
        <w:lastRenderedPageBreak/>
        <w:t>El procedimiento es el mismo que para s</w:t>
      </w:r>
      <w:r>
        <w:t xml:space="preserve">acar la resistencia de </w:t>
      </w:r>
      <w:proofErr w:type="spellStart"/>
      <w:r>
        <w:t>Thévenin</w:t>
      </w:r>
      <w:proofErr w:type="spellEnd"/>
      <w:r>
        <w:t xml:space="preserve">: anular las fuentes (fuentes de tensión cambiarlas por un cable) y medir </w:t>
      </w:r>
      <w:r w:rsidR="00D61902">
        <w:t xml:space="preserve">la </w:t>
      </w:r>
      <w:r>
        <w:t xml:space="preserve">resistencia entre A y B con el multímetro. Esto es lógico ya que la resistencia de Norton es la de </w:t>
      </w:r>
      <w:proofErr w:type="spellStart"/>
      <w:r>
        <w:t>Thévenin</w:t>
      </w:r>
      <w:proofErr w:type="spellEnd"/>
      <w:r>
        <w:t>.</w:t>
      </w:r>
    </w:p>
    <w:p w:rsidR="003D35E3" w:rsidRDefault="001443C9" w:rsidP="001443C9">
      <w:pPr>
        <w:jc w:val="center"/>
        <w:rPr>
          <w:i/>
        </w:rPr>
      </w:pPr>
      <w:r>
        <w:rPr>
          <w:i/>
          <w:noProof/>
          <w:lang w:eastAsia="es-ES"/>
        </w:rPr>
        <w:drawing>
          <wp:inline distT="0" distB="0" distL="0" distR="0" wp14:anchorId="20CA4D23">
            <wp:extent cx="4464050" cy="15976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8531" cy="1606363"/>
                    </a:xfrm>
                    <a:prstGeom prst="rect">
                      <a:avLst/>
                    </a:prstGeom>
                    <a:noFill/>
                  </pic:spPr>
                </pic:pic>
              </a:graphicData>
            </a:graphic>
          </wp:inline>
        </w:drawing>
      </w:r>
    </w:p>
    <w:p w:rsidR="001443C9" w:rsidRPr="001443C9" w:rsidRDefault="001443C9" w:rsidP="001443C9">
      <w:pPr>
        <w:jc w:val="center"/>
        <w:rPr>
          <w:i/>
          <w:sz w:val="20"/>
          <w:szCs w:val="20"/>
        </w:rPr>
      </w:pPr>
      <w:r w:rsidRPr="001443C9">
        <w:rPr>
          <w:i/>
          <w:sz w:val="20"/>
          <w:szCs w:val="20"/>
        </w:rPr>
        <w:t>Ejemplo de medición de la resistencia de Norton</w:t>
      </w:r>
    </w:p>
    <w:p w:rsidR="004E70EE" w:rsidRDefault="004E70EE" w:rsidP="00D61902">
      <w:pPr>
        <w:jc w:val="both"/>
        <w:rPr>
          <w:b/>
          <w:color w:val="2F5496" w:themeColor="accent1" w:themeShade="BF"/>
        </w:rPr>
      </w:pPr>
    </w:p>
    <w:p w:rsidR="003D35E3" w:rsidRPr="00CC32BC" w:rsidRDefault="003D35E3" w:rsidP="00D61902">
      <w:pPr>
        <w:jc w:val="both"/>
        <w:rPr>
          <w:b/>
          <w:color w:val="2F5496" w:themeColor="accent1" w:themeShade="BF"/>
        </w:rPr>
      </w:pPr>
      <w:r w:rsidRPr="00CC32BC">
        <w:rPr>
          <w:b/>
          <w:color w:val="2F5496" w:themeColor="accent1" w:themeShade="BF"/>
        </w:rPr>
        <w:t xml:space="preserve">¿Puedo sacar el equivalente Norton sacando el de </w:t>
      </w:r>
      <w:proofErr w:type="spellStart"/>
      <w:r w:rsidRPr="00CC32BC">
        <w:rPr>
          <w:b/>
          <w:color w:val="2F5496" w:themeColor="accent1" w:themeShade="BF"/>
        </w:rPr>
        <w:t>Thévenin</w:t>
      </w:r>
      <w:proofErr w:type="spellEnd"/>
      <w:r w:rsidRPr="00CC32BC">
        <w:rPr>
          <w:b/>
          <w:color w:val="2F5496" w:themeColor="accent1" w:themeShade="BF"/>
        </w:rPr>
        <w:t xml:space="preserve"> y haciendo conversión de fuentes?</w:t>
      </w:r>
    </w:p>
    <w:p w:rsidR="003D35E3" w:rsidRDefault="003D35E3" w:rsidP="00CC32BC">
      <w:pPr>
        <w:jc w:val="both"/>
      </w:pPr>
      <w:r>
        <w:t>Sí puedes. Es un procedimiento válido.</w:t>
      </w:r>
    </w:p>
    <w:p w:rsidR="00D26B98" w:rsidRDefault="003D35E3" w:rsidP="00CC32BC">
      <w:pPr>
        <w:jc w:val="both"/>
      </w:pPr>
      <w:r>
        <w:t>Sin embargo, en el apartado 2 de la práctica se pide que saques el equivalente Norton directamente y es eso lo que has de hacer.</w:t>
      </w: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p>
    <w:p w:rsidR="00D4063E" w:rsidRDefault="00D4063E" w:rsidP="00CC32BC">
      <w:pPr>
        <w:jc w:val="both"/>
      </w:pPr>
      <w:bookmarkStart w:id="0" w:name="_GoBack"/>
      <w:bookmarkEnd w:id="0"/>
    </w:p>
    <w:p w:rsidR="00D4063E" w:rsidRDefault="00D4063E" w:rsidP="00CC32BC">
      <w:pPr>
        <w:jc w:val="both"/>
      </w:pPr>
    </w:p>
    <w:p w:rsidR="00D4063E" w:rsidRDefault="00D4063E" w:rsidP="00CC32BC">
      <w:pPr>
        <w:jc w:val="both"/>
      </w:pPr>
      <w:r>
        <w:rPr>
          <w:noProof/>
          <w:color w:val="0000FF"/>
          <w:lang w:eastAsia="es-ES"/>
        </w:rPr>
        <w:drawing>
          <wp:inline distT="0" distB="0" distL="0" distR="0" wp14:anchorId="4101D968" wp14:editId="7EFE30C3">
            <wp:extent cx="839470" cy="293370"/>
            <wp:effectExtent l="0" t="0" r="0" b="0"/>
            <wp:docPr id="40" name="Imagen 40" descr="Licencia Creative Commo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br/>
        <w:t xml:space="preserve">Esta obra está bajo una </w:t>
      </w:r>
      <w:hyperlink r:id="rId13" w:history="1">
        <w:r>
          <w:rPr>
            <w:rStyle w:val="Hipervnculo"/>
          </w:rPr>
          <w:t xml:space="preserve">Licencia </w:t>
        </w:r>
        <w:proofErr w:type="spellStart"/>
        <w:r>
          <w:rPr>
            <w:rStyle w:val="Hipervnculo"/>
          </w:rPr>
          <w:t>Creative</w:t>
        </w:r>
        <w:proofErr w:type="spellEnd"/>
        <w:r>
          <w:rPr>
            <w:rStyle w:val="Hipervnculo"/>
          </w:rPr>
          <w:t xml:space="preserve"> </w:t>
        </w:r>
        <w:proofErr w:type="spellStart"/>
        <w:r>
          <w:rPr>
            <w:rStyle w:val="Hipervnculo"/>
          </w:rPr>
          <w:t>Commons</w:t>
        </w:r>
        <w:proofErr w:type="spellEnd"/>
        <w:r>
          <w:rPr>
            <w:rStyle w:val="Hipervnculo"/>
          </w:rPr>
          <w:t xml:space="preserve"> Atribución 4.0 Internacional</w:t>
        </w:r>
      </w:hyperlink>
      <w:r>
        <w:t>.</w:t>
      </w:r>
    </w:p>
    <w:sectPr w:rsidR="00D4063E">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91" w:rsidRDefault="007C7891" w:rsidP="00CC32BC">
      <w:pPr>
        <w:spacing w:after="0" w:line="240" w:lineRule="auto"/>
      </w:pPr>
      <w:r>
        <w:separator/>
      </w:r>
    </w:p>
  </w:endnote>
  <w:endnote w:type="continuationSeparator" w:id="0">
    <w:p w:rsidR="007C7891" w:rsidRDefault="007C7891" w:rsidP="00CC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02" w:rsidRPr="00D61902" w:rsidRDefault="00D61902">
    <w:pPr>
      <w:pStyle w:val="Piedepgina"/>
      <w:jc w:val="right"/>
      <w:rPr>
        <w:i/>
        <w:sz w:val="20"/>
        <w:szCs w:val="20"/>
      </w:rPr>
    </w:pPr>
    <w:r w:rsidRPr="00D61902">
      <w:rPr>
        <w:i/>
        <w:sz w:val="20"/>
        <w:szCs w:val="20"/>
      </w:rPr>
      <w:t>Preguntas frecuentes</w:t>
    </w:r>
    <w:r w:rsidRPr="00D61902">
      <w:rPr>
        <w:i/>
        <w:sz w:val="20"/>
        <w:szCs w:val="20"/>
      </w:rPr>
      <w:tab/>
    </w:r>
    <w:r w:rsidRPr="00D61902">
      <w:rPr>
        <w:i/>
        <w:sz w:val="20"/>
        <w:szCs w:val="20"/>
      </w:rPr>
      <w:tab/>
    </w:r>
    <w:sdt>
      <w:sdtPr>
        <w:rPr>
          <w:i/>
          <w:sz w:val="20"/>
          <w:szCs w:val="20"/>
        </w:rPr>
        <w:id w:val="-1466119612"/>
        <w:docPartObj>
          <w:docPartGallery w:val="Page Numbers (Bottom of Page)"/>
          <w:docPartUnique/>
        </w:docPartObj>
      </w:sdtPr>
      <w:sdtEndPr/>
      <w:sdtContent>
        <w:r w:rsidRPr="00D61902">
          <w:rPr>
            <w:i/>
            <w:sz w:val="20"/>
            <w:szCs w:val="20"/>
          </w:rPr>
          <w:fldChar w:fldCharType="begin"/>
        </w:r>
        <w:r w:rsidRPr="00D61902">
          <w:rPr>
            <w:i/>
            <w:sz w:val="20"/>
            <w:szCs w:val="20"/>
          </w:rPr>
          <w:instrText>PAGE   \* MERGEFORMAT</w:instrText>
        </w:r>
        <w:r w:rsidRPr="00D61902">
          <w:rPr>
            <w:i/>
            <w:sz w:val="20"/>
            <w:szCs w:val="20"/>
          </w:rPr>
          <w:fldChar w:fldCharType="separate"/>
        </w:r>
        <w:r w:rsidR="00D4063E">
          <w:rPr>
            <w:i/>
            <w:noProof/>
            <w:sz w:val="20"/>
            <w:szCs w:val="20"/>
          </w:rPr>
          <w:t>1</w:t>
        </w:r>
        <w:r w:rsidRPr="00D61902">
          <w:rPr>
            <w:i/>
            <w:sz w:val="20"/>
            <w:szCs w:val="20"/>
          </w:rPr>
          <w:fldChar w:fldCharType="end"/>
        </w:r>
      </w:sdtContent>
    </w:sdt>
  </w:p>
  <w:p w:rsidR="00D61902" w:rsidRDefault="00D619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91" w:rsidRDefault="007C7891" w:rsidP="00CC32BC">
      <w:pPr>
        <w:spacing w:after="0" w:line="240" w:lineRule="auto"/>
      </w:pPr>
      <w:r>
        <w:separator/>
      </w:r>
    </w:p>
  </w:footnote>
  <w:footnote w:type="continuationSeparator" w:id="0">
    <w:p w:rsidR="007C7891" w:rsidRDefault="007C7891" w:rsidP="00CC3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BC" w:rsidRPr="00CC32BC" w:rsidRDefault="00CC32BC">
    <w:pPr>
      <w:pStyle w:val="Encabezado"/>
      <w:rPr>
        <w:i/>
        <w:sz w:val="20"/>
        <w:szCs w:val="20"/>
        <w:u w:val="single"/>
      </w:rPr>
    </w:pPr>
    <w:r>
      <w:rPr>
        <w:i/>
        <w:sz w:val="20"/>
        <w:szCs w:val="20"/>
        <w:u w:val="single"/>
      </w:rPr>
      <w:t>Práctica 3</w:t>
    </w:r>
    <w:r w:rsidRPr="00FF5937">
      <w:rPr>
        <w:i/>
        <w:sz w:val="20"/>
        <w:szCs w:val="20"/>
        <w:u w:val="single"/>
      </w:rPr>
      <w:t xml:space="preserve">                          </w:t>
    </w:r>
    <w:r>
      <w:rPr>
        <w:i/>
        <w:sz w:val="20"/>
        <w:szCs w:val="20"/>
        <w:u w:val="single"/>
      </w:rPr>
      <w:t xml:space="preserve">                    </w:t>
    </w:r>
    <w:r w:rsidRPr="00FF5937">
      <w:rPr>
        <w:i/>
        <w:sz w:val="20"/>
        <w:szCs w:val="20"/>
        <w:u w:val="single"/>
      </w:rPr>
      <w:t xml:space="preserve"> </w:t>
    </w:r>
    <w:r>
      <w:rPr>
        <w:i/>
        <w:sz w:val="20"/>
        <w:szCs w:val="20"/>
        <w:u w:val="single"/>
      </w:rPr>
      <w:tab/>
      <w:t xml:space="preserve">                     </w:t>
    </w:r>
    <w:r>
      <w:rPr>
        <w:i/>
        <w:sz w:val="20"/>
        <w:szCs w:val="20"/>
        <w:u w:val="single"/>
      </w:rPr>
      <w:tab/>
      <w:t xml:space="preserve">    Equivalente </w:t>
    </w:r>
    <w:proofErr w:type="spellStart"/>
    <w:r>
      <w:rPr>
        <w:i/>
        <w:sz w:val="20"/>
        <w:szCs w:val="20"/>
        <w:u w:val="single"/>
      </w:rPr>
      <w:t>Thévenin</w:t>
    </w:r>
    <w:proofErr w:type="spellEnd"/>
    <w:r>
      <w:rPr>
        <w:i/>
        <w:sz w:val="20"/>
        <w:szCs w:val="20"/>
        <w:u w:val="single"/>
      </w:rPr>
      <w:t xml:space="preserve"> y Norton</w:t>
    </w:r>
  </w:p>
  <w:p w:rsidR="00CC32BC" w:rsidRDefault="00CC32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CDF"/>
    <w:multiLevelType w:val="hybridMultilevel"/>
    <w:tmpl w:val="072A38F8"/>
    <w:lvl w:ilvl="0" w:tplc="B87E6708">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98"/>
    <w:rsid w:val="001236E9"/>
    <w:rsid w:val="001443C9"/>
    <w:rsid w:val="00152FB6"/>
    <w:rsid w:val="002521BA"/>
    <w:rsid w:val="00267945"/>
    <w:rsid w:val="003D35E3"/>
    <w:rsid w:val="00464B49"/>
    <w:rsid w:val="00471926"/>
    <w:rsid w:val="00497DB5"/>
    <w:rsid w:val="004C171E"/>
    <w:rsid w:val="004E70EE"/>
    <w:rsid w:val="00565FA5"/>
    <w:rsid w:val="00783F98"/>
    <w:rsid w:val="00796E3F"/>
    <w:rsid w:val="007C7891"/>
    <w:rsid w:val="008A75FA"/>
    <w:rsid w:val="00A003A5"/>
    <w:rsid w:val="00A43AA8"/>
    <w:rsid w:val="00CC32BC"/>
    <w:rsid w:val="00D26B98"/>
    <w:rsid w:val="00D4063E"/>
    <w:rsid w:val="00D61902"/>
    <w:rsid w:val="00D658CA"/>
    <w:rsid w:val="00F26931"/>
    <w:rsid w:val="00F726B0"/>
    <w:rsid w:val="00FA3641"/>
    <w:rsid w:val="00FD6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86F1"/>
  <w15:chartTrackingRefBased/>
  <w15:docId w15:val="{A0B82FA3-26F6-4784-B73D-B9B81AFD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58CA"/>
    <w:rPr>
      <w:color w:val="0563C1" w:themeColor="hyperlink"/>
      <w:u w:val="single"/>
    </w:rPr>
  </w:style>
  <w:style w:type="paragraph" w:styleId="Prrafodelista">
    <w:name w:val="List Paragraph"/>
    <w:basedOn w:val="Normal"/>
    <w:uiPriority w:val="34"/>
    <w:qFormat/>
    <w:rsid w:val="00152FB6"/>
    <w:pPr>
      <w:ind w:left="720"/>
      <w:contextualSpacing/>
    </w:pPr>
  </w:style>
  <w:style w:type="paragraph" w:styleId="Encabezado">
    <w:name w:val="header"/>
    <w:basedOn w:val="Normal"/>
    <w:link w:val="EncabezadoCar"/>
    <w:uiPriority w:val="99"/>
    <w:unhideWhenUsed/>
    <w:rsid w:val="00CC32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2BC"/>
  </w:style>
  <w:style w:type="paragraph" w:styleId="Piedepgina">
    <w:name w:val="footer"/>
    <w:basedOn w:val="Normal"/>
    <w:link w:val="PiedepginaCar"/>
    <w:uiPriority w:val="99"/>
    <w:unhideWhenUsed/>
    <w:rsid w:val="00CC32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2BC"/>
  </w:style>
  <w:style w:type="table" w:styleId="Tablaconcuadrcula">
    <w:name w:val="Table Grid"/>
    <w:basedOn w:val="Tablanormal"/>
    <w:uiPriority w:val="39"/>
    <w:rsid w:val="00F7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2018-06-29T09:44:00Z</dcterms:created>
  <dcterms:modified xsi:type="dcterms:W3CDTF">2018-07-02T18:32:00Z</dcterms:modified>
</cp:coreProperties>
</file>